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08b9" w14:textId="045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28 қазандағы № 38/416 шешімі. Маңғыстау облысы Әділет департаментінде 2015 жылғы 27 қарашада № 2893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22/274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аудандық мәслихатының кейбір шешімдеріне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"Қызылтөбе ауылдық округі бойынша бағалық аймақтарға бөлу шекаралары және жер учаскелері үшін төлемақының базалық ставкасына түзету коэффициенттері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30/309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 тізілімінде № 2706 болып тіркелген, 2015 жылғы 15 мамырда № 33-34 (484-485) "Мұнайлы" газетінде жарияланған) шешіміне: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өзгеріссіз қалдырылсын: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"Қызылтөбе селолық округі бойынша бағалық аймақтарға бөлу шекаралары және жер учаскелері үшін төлемақының базалық ставкасына түзету коэффициенттері туралы" 2009 жылғы 8 мамырдағы № 15/165 Мұнайлы аудандық мәслихатының (Нормативтік құқықтық актілерді мемлекеттік тіркеу тізілімінде № 11-7-49 болып тіркелген, 2009 жылғы 19 маусымда № 24 (80) "Мұнайлы" газетінде жарияланған) шешімінің күші жойылды деп танылсын.";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Себепбаева).";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"Қызылтөбе ауылдық округін салық салу мақсатында аймақтарға бөлу схемасы және жер салығының базалық ставкаларына түзету коэффициенттері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30/310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 тізілімінде № 2704 болып тіркелген, 2015 жылғы 15 мамырда № 33-34 (484-485) "Мұнайлы" газетінде жарияланған) шешіміне: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"Қызылтөбе селолық округін салық салу мақсатында аймақтарға бөлу схемасы және жер салығының базалық ставкаларына түзету коэффициенттері туралы" 2009 жылғы 08 мамырдағы № 15/166 Мұнайлы аудандық мәслихатының (Нормативтік құқықтық актілерді мемлекеттік тіркеу тізілімінде № 11-7-50 болып тіркелген, 2009 жылғы 19 маусымда № 24 (80) "Мұнайлы" газетінде жарияланған) шешімінің күші жойылды деп танылсын.";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Себепбаева).".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Себепбаева).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қазан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