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7ba3" w14:textId="cab7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6 тамыздағы № 188 "Қостанай облысы Арқалық қаласының Екідің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223 шешімі. Қостанай облысының Әділет департаментінде 2015 жылғы 28 сәуірде № 5555 болып тіркелді. Күші жойылды - Қостанай облысы Арқалық қаласы мәслихатының 2022 жылғы 21 маусымдағы № 129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6 тамыздағы № 188 "Қостанай облысы Арқалық қаласының Екідің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5083 тіркелген, 2014 жылғы 17 қазанда "Торғай"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Екідің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Бөлек жиынды Екідің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Екідің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Д. Бейсенов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