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700a" w14:textId="8a47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иеліктен айыру түрлерін таңдау жөніндегі критерийлерді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4 маусымдағы № 94 қаулысы. Қостанай облысының Әділет департаментінде 2015 жылғы 3 шілдеде № 5721 болып тіркелді. Күші жойылды - Қостанай облысы Жангелдин ауданы әкімдігінің 2016 жылғы 16 тамыздағы № 94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16.08.2016 </w:t>
      </w:r>
      <w:r>
        <w:rPr>
          <w:rFonts w:ascii="Times New Roman"/>
          <w:b w:val="false"/>
          <w:i w:val="false"/>
          <w:color w:val="ff0000"/>
          <w:sz w:val="28"/>
        </w:rPr>
        <w:t>№ 94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Үкіметінің 2011 жылғы 9 тамыздағы </w:t>
      </w:r>
      <w:r>
        <w:rPr>
          <w:rFonts w:ascii="Times New Roman"/>
          <w:b w:val="false"/>
          <w:i w:val="false"/>
          <w:color w:val="000000"/>
          <w:sz w:val="28"/>
        </w:rPr>
        <w:t xml:space="preserve"> №920</w:t>
      </w:r>
      <w:r>
        <w:rPr>
          <w:rFonts w:ascii="Times New Roman"/>
          <w:b w:val="false"/>
          <w:i w:val="false"/>
          <w:color w:val="000000"/>
          <w:sz w:val="28"/>
        </w:rPr>
        <w:t xml:space="preserve"> "Жекешелендіру объектілерін сату қағидасын бекіту туралы" қаулысына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Коммуналдық мүлікті иеліктен айыру түрлерін таңдау жөніндегі критерийлер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4 маусымдағы</w:t>
            </w:r>
            <w:r>
              <w:br/>
            </w:r>
            <w:r>
              <w:rPr>
                <w:rFonts w:ascii="Times New Roman"/>
                <w:b w:val="false"/>
                <w:i w:val="false"/>
                <w:color w:val="000000"/>
                <w:sz w:val="20"/>
              </w:rPr>
              <w:t>№ 94 қаулысына қосымша</w:t>
            </w:r>
          </w:p>
        </w:tc>
      </w:tr>
    </w:tbl>
    <w:p>
      <w:pPr>
        <w:spacing w:after="0"/>
        <w:ind w:left="0"/>
        <w:jc w:val="left"/>
      </w:pPr>
      <w:r>
        <w:rPr>
          <w:rFonts w:ascii="Times New Roman"/>
          <w:b/>
          <w:i w:val="false"/>
          <w:color w:val="000000"/>
        </w:rPr>
        <w:t xml:space="preserve"> Коммуналдық мүлікті иеліктен айыру түрлерін таңдау жөніндегі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0205"/>
        <w:gridCol w:w="1180"/>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айыру түрлері</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 әрі қарай бақылауға мемлекеттің мүддесінің болмауы;</w:t>
            </w:r>
            <w:r>
              <w:br/>
            </w: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ең жоғары мүмкін баға бойынша жекешелендіру объектісін сату және саудаға қатысушылардың кең тобын тарту қажеттілігі;</w:t>
            </w:r>
            <w:r>
              <w:br/>
            </w:r>
            <w:r>
              <w:rPr>
                <w:rFonts w:ascii="Times New Roman"/>
                <w:b w:val="false"/>
                <w:i w:val="false"/>
                <w:color w:val="000000"/>
                <w:sz w:val="20"/>
              </w:rPr>
              <w:t>
мемлекетке тиесілі бағалы қағаздарды оларды әрі қарай бақылауға мемлекеттің мүддесі болмаған кезде сату.</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Сауданы аукцион нысанында өткізу</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w:t>
            </w:r>
            <w:r>
              <w:br/>
            </w:r>
            <w:r>
              <w:rPr>
                <w:rFonts w:ascii="Times New Roman"/>
                <w:b w:val="false"/>
                <w:i w:val="false"/>
                <w:color w:val="000000"/>
                <w:sz w:val="20"/>
              </w:rPr>
              <w:t>
ең жоғары баға бойынша жекешелендіру объектісін сату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 болған жағдайда мемлекетке тиесілі бағалы қағаздарды сату.</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Сауданы коммерциялық тендер нысанында өткізу</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Сенімгерлік басқарудың, сенімгер басқарушымен, жалға алушымен (жалдаушымен) кейін сатып алу құқығымен мүліктік жалға (жалдауға) беру шартының талаптарын орындау үшін мемлекеттің бақылауын белгілі бір уақыт ішінде сақтау қажеттілігі.</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атаулы сату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