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0361" w14:textId="04d0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Меңдіқара ауданы әкімдігінің 2015 жылғы 16 қарашадағы № 240 қаулысы. Қостанай облысының Әділет департаментінде 2015 жылғы 10 желтоқсанда № 6048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2001 жылғы 23 қаңтардағы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еңбегіне төленетін ақысы нақты орындалған жұмыстар үшін, 2016 жылға белгіленген ең төменгі айлық жалақының 1,25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Еңбекке төленетін ақы, Қазақстан Республикасының қолданыстағы заңнамасымен белгіленген мөлшерде әлеуметтік салықты,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айқындалсын.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"Меңдіқара ауданының жұмыспен қамту және әлеуметтік бағдарламалар бөлімі" мемлекеттік мекемесі мен тізбеде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С. В. Швыдченкоға жүктелсiн.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енгiзiледi және 2016 жылдың 1 қаңтарынан бастап туындаған қатынастарға таратылады.</w:t>
      </w:r>
    </w:p>
    <w:bookmarkEnd w:id="0"/>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В. Ионенко</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16 қарашада   </w:t>
      </w:r>
      <w:r>
        <w:br/>
      </w:r>
      <w:r>
        <w:rPr>
          <w:rFonts w:ascii="Times New Roman"/>
          <w:b w:val="false"/>
          <w:i w:val="false"/>
          <w:color w:val="000000"/>
          <w:sz w:val="28"/>
        </w:rPr>
        <w:t xml:space="preserve">
№ 240 қаулысымен бекітілген </w:t>
      </w:r>
    </w:p>
    <w:bookmarkEnd w:id="1"/>
    <w:p>
      <w:pPr>
        <w:spacing w:after="0"/>
        <w:ind w:left="0"/>
        <w:jc w:val="left"/>
      </w:pPr>
      <w:r>
        <w:rPr>
          <w:rFonts w:ascii="Times New Roman"/>
          <w:b/>
          <w:i w:val="false"/>
          <w:color w:val="000000"/>
        </w:rPr>
        <w:t xml:space="preserve"> 2016 жылы жұмыссыздар үшін ұйымдардың</w:t>
      </w:r>
      <w:r>
        <w:br/>
      </w:r>
      <w:r>
        <w:rPr>
          <w:rFonts w:ascii="Times New Roman"/>
          <w:b/>
          <w:i w:val="false"/>
          <w:color w:val="000000"/>
        </w:rPr>
        <w:t>
тiзбесi, қоғамдық жұмыстардың түрлерi,</w:t>
      </w:r>
      <w:r>
        <w:br/>
      </w:r>
      <w:r>
        <w:rPr>
          <w:rFonts w:ascii="Times New Roman"/>
          <w:b/>
          <w:i w:val="false"/>
          <w:color w:val="000000"/>
        </w:rPr>
        <w:t>
көлемі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039"/>
        <w:gridCol w:w="3104"/>
        <w:gridCol w:w="1995"/>
        <w:gridCol w:w="2892"/>
      </w:tblGrid>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көлемi (сағат)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11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Алешин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Борков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Буденный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Введен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Қарақоға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Краснопреснен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Каменскорал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Ломоносов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0" w:type="auto"/>
            <w:vMerge/>
            <w:tcBorders>
              <w:top w:val="nil"/>
              <w:left w:val="single" w:color="cfcfcf" w:sz="5"/>
              <w:bottom w:val="single" w:color="cfcfcf" w:sz="5"/>
              <w:right w:val="single" w:color="cfcfcf" w:sz="5"/>
            </w:tcBorders>
          </w:tcPr>
          <w:p/>
        </w:tc>
      </w:tr>
      <w:tr>
        <w:trPr>
          <w:trHeight w:val="10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Михайлов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Первомай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0" w:type="auto"/>
            <w:vMerge/>
            <w:tcBorders>
              <w:top w:val="nil"/>
              <w:left w:val="single" w:color="cfcfcf" w:sz="5"/>
              <w:bottom w:val="single" w:color="cfcfcf" w:sz="5"/>
              <w:right w:val="single" w:color="cfcfcf" w:sz="5"/>
            </w:tcBorders>
          </w:tcPr>
          <w:p/>
        </w:tc>
      </w:tr>
      <w:tr>
        <w:trPr>
          <w:trHeight w:val="9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Соснов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Теңіз ауылдық округі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әкімінің аппараты"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өңдек бойынша жұмыстарға күн сайынғы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