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fb5a" w14:textId="e53f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25 қыркүйектегі № 278/10 қаулысы. Павлодар облысының Әділет департаментінде 2015 жылғы 06 қарашада № 4780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Н.К. Әшімбетовке жүктелсiн.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25 қыркүйек</w:t>
            </w:r>
            <w:r>
              <w:br/>
            </w:r>
            <w:r>
              <w:rPr>
                <w:rFonts w:ascii="Times New Roman"/>
                <w:b w:val="false"/>
                <w:i w:val="false"/>
                <w:color w:val="000000"/>
                <w:sz w:val="20"/>
              </w:rPr>
              <w:t>№ 278/10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04.04.2019 №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9"/>
    <w:p>
      <w:pPr>
        <w:spacing w:after="0"/>
        <w:ind w:left="0"/>
        <w:jc w:val="both"/>
      </w:pPr>
      <w:r>
        <w:rPr>
          <w:rFonts w:ascii="Times New Roman"/>
          <w:b w:val="false"/>
          <w:i w:val="false"/>
          <w:color w:val="000000"/>
          <w:sz w:val="28"/>
        </w:rPr>
        <w:t>
      Тиесілі субсидиялар:</w:t>
      </w:r>
    </w:p>
    <w:p>
      <w:pPr>
        <w:spacing w:after="0"/>
        <w:ind w:left="0"/>
        <w:jc w:val="both"/>
      </w:pPr>
      <w:r>
        <w:rPr>
          <w:rFonts w:ascii="Times New Roman"/>
          <w:b w:val="false"/>
          <w:i w:val="false"/>
          <w:color w:val="000000"/>
          <w:sz w:val="28"/>
        </w:rPr>
        <w:t>
      1) ағымдағы жылы және (немесе)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кооперативтерінің (бұдан әрі – ауылшаркооперативі);</w:t>
      </w:r>
    </w:p>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тыңайтқыштар өндірушілердің шоттарына аударылады.</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 электрондық. </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көрсетілетін қызметті алушының "жеке кабинетіне" жолданады.</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 бойынша сатып алынған тыңайтқыштар үшін субсидия алуға арналған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порталға жіберу болып табылады.</w:t>
      </w:r>
    </w:p>
    <w:bookmarkEnd w:id="11"/>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Мемлекеттік қызметті көрсету мерзімі – 3 (үш) жұмыс күні.</w:t>
      </w:r>
    </w:p>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(өтпелі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(өтпелі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1) төлем тапсырмасына қол қою және көрсетілетін қызметті берушінің басшысына жолдау не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6" w:id="14"/>
    <w:p>
      <w:pPr>
        <w:spacing w:after="0"/>
        <w:ind w:left="0"/>
        <w:jc w:val="left"/>
      </w:pPr>
      <w:r>
        <w:rPr>
          <w:rFonts w:ascii="Times New Roman"/>
          <w:b/>
          <w:i w:val="false"/>
          <w:color w:val="000000"/>
        </w:rPr>
        <w:t xml:space="preserve"> 3-тарау. Мемлекеттік қызмет көрсету процесінде</w:t>
      </w:r>
      <w:r>
        <w:br/>
      </w:r>
      <w:r>
        <w:rPr>
          <w:rFonts w:ascii="Times New Roman"/>
          <w:b/>
          <w:i w:val="false"/>
          <w:color w:val="000000"/>
        </w:rPr>
        <w:t>құрылымдық бөлімшелер (қызметкерлер) мен көрсетілетін</w:t>
      </w:r>
      <w:r>
        <w:br/>
      </w:r>
      <w:r>
        <w:rPr>
          <w:rFonts w:ascii="Times New Roman"/>
          <w:b/>
          <w:i w:val="false"/>
          <w:color w:val="000000"/>
        </w:rPr>
        <w:t>қызметті берушінің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19" w:id="17"/>
    <w:p>
      <w:pPr>
        <w:spacing w:after="0"/>
        <w:ind w:left="0"/>
        <w:jc w:val="left"/>
      </w:pPr>
      <w:r>
        <w:rPr>
          <w:rFonts w:ascii="Times New Roman"/>
          <w:b/>
          <w:i w:val="false"/>
          <w:color w:val="000000"/>
        </w:rPr>
        <w:t xml:space="preserve"> 4-тарау. "Азаматтарға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w:t>
      </w:r>
      <w:r>
        <w:br/>
      </w:r>
      <w:r>
        <w:rPr>
          <w:rFonts w:ascii="Times New Roman"/>
          <w:b/>
          <w:i w:val="false"/>
          <w:color w:val="000000"/>
        </w:rPr>
        <w:t>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8"/>
    <w:bookmarkStart w:name="z21" w:id="19"/>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1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2" w:id="20"/>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776"/>
        <w:gridCol w:w="5768"/>
        <w:gridCol w:w="1534"/>
        <w:gridCol w:w="1656"/>
        <w:gridCol w:w="11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(өтпелі өтінімін) қабылдауды тиісті хабарламаға ЭЦҚ қолдану арқылы қол қойып растау. Өтінімнің (өтпелі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көрсетілетін қызметті берушінің басшысына жолдау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жолдау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2"/>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p>
    <w:bookmarkStart w:name="z27" w:id="23"/>
    <w:p>
      <w:pPr>
        <w:spacing w:after="0"/>
        <w:ind w:left="0"/>
        <w:jc w:val="left"/>
      </w:pPr>
      <w:r>
        <w:rPr>
          <w:rFonts w:ascii="Times New Roman"/>
          <w:b/>
          <w:i w:val="false"/>
          <w:color w:val="000000"/>
        </w:rPr>
        <w:t xml:space="preserve"> Шартты белгілер мен қысқартулар: </w:t>
      </w:r>
    </w:p>
    <w:bookmarkEnd w:id="23"/>
    <w:p>
      <w:pPr>
        <w:spacing w:after="0"/>
        <w:ind w:left="0"/>
        <w:jc w:val="both"/>
      </w:pPr>
      <w:r>
        <w:drawing>
          <wp:inline distT="0" distB="0" distL="0" distR="0">
            <wp:extent cx="72009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753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 xml:space="preserve">мемлекеттік қызметін көрсетудің бизнес-процестерінің анықтамалығы </w:t>
      </w:r>
    </w:p>
    <w:bookmarkEnd w:id="2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30"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302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2006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