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b64d" w14:textId="63bb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10 ақпандағы "Павлодар облысының жер қойнауын пайдалану, қоршаған орта және су ресурстары басқармасы" мемлекеттік мекемесі туралы ережені бекіту туралы" № 29/2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3 қарашадағы № 308/11 қаулысы. Павлодар облысының Әділет департаментінде 2015 жылғы 02 желтоқсанда № 4822 болып тіркелді. Күші жойылды - Павлодар облыстық әкімдігінің 2018 жылғы 12 қыркүйектегі № 321/5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әкімдігінің 12.09.2018 № 321/5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туралы", 2011 жылғы 1 наурыздағы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>", 2010 жылғы 24 маусымдағы "</w:t>
      </w:r>
      <w:r>
        <w:rPr>
          <w:rFonts w:ascii="Times New Roman"/>
          <w:b w:val="false"/>
          <w:i w:val="false"/>
          <w:color w:val="000000"/>
          <w:sz w:val="28"/>
        </w:rPr>
        <w:t>Жер қойнауы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 қойнауын пайдалану туралы" Заңдарына, Қазақстан Республикасы Президентінің 2012 жылғы 29 қазандағы "Қазақстан Республикасы мемлекеттік органының үлгі ережесін бекіту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2014 жылғы 10 ақпандағы "Павлодар облысының жер қойнауын пайдалану, қоршаған орта және су ресурстары басқармасы" мемлекеттік мекемесі туралы ережені бекіту туралы" № 29/2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3712 болып тіркелген, 2014 жылғы 27 ақпанда "Сарыарқа самалы", "Звезда Прииртышья" газеттерінде жарияланған)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"Павлодар облысының жер қойнауын пайдалану, қоршаған орта және су ресурстары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тармақша алынып тасталсын: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тармақша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"56) Қазақстан Республикасының "Жер қойнауы және жер қойнауын пайдалану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қойнауын пайдалану құқығын табыс етуге арналған рұқсаттарды беру, сондай-ақ кең таралған пайдалы қазбалар бойынша жер қойнауын пайдалану құқығын кепілге салу жөніндегі мәмілелерді тіркеу";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тармақша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"58) жер қойнауын мемлекеттік геологиялық зерттеу жөніндегі жұмыстарды жүргізуге арналған жобалау-сметалық құжаттаманың сараптамасын қоспағанда, барлаумен немесе өндірумен байланысты емес жерасты құрылыстарын салуға және (немесе) пайдалануға арналған, елді мекендерді шаруашылық-ауыз сумен жабдықтау үшін жерасты суларына арналған кең таралған пайдалы қазбалар бойынша жобалау құжаттарына сараптама жүргізуді ұйымдастыру";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85), 86), 87), 88), 89), 90)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"85) кең таралған пайдалы қазбаларды барлауға, өндіруге және барлаумен немесе өндірумен байланысты емес жерасты құрылыстарын салуға және (немесе) пайдалануға арналған келісімшарттарды жасау, тіркеу және сақтау;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келісімшарт жасасу кезінде өңір халқының әлеуметтік-экономикалық және экологиялық мүдделерінің сақталумен байланысты мәселелерді шешу үшін жер қойнауын пайдаланушымен келіссөздерге қатысу;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құрамында кең таралған пайдалы қазбалар бар, тендерге немесе аукционға шығаруға жататын жер қойнауы учаскелерінің тізбесін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кең таралған пайдалы қазбаларды барлауға немесе өндіруге арналған жер қойнауын пайдалану құқығын беру жөніндегі конкурстық комиссиялардың құрамын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кең таралған пайдалы қазбаларды барлау мен өндіруге және барлаумен немесе өндірумен байланысты емес жерасты құрылыстарын салуға және (немесе) пайдалануға арналған келісімшарттардың қолданысын қайта бастау туралы шешімдер қабылдау;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кең таралған пайдалы қазбалар және барлаумен немесе өндірумен байланысты емес жерасты құрылыстарын салу және (немесе) пайдалану бойынша келісімшарттық міндеттемелердің орындалуына мониторинг пен бақылауды жүзеге асыру.".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жер қойнауын пайдалану, қоршаған орта және су ресурстары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Н. К. Әшімбетовке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