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3585" w14:textId="8563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20 сәуірдегі № 305/4 қаулысы. Павлодар облысының Әділет департаментінде 2015 жылғы 18 мамырда № 4462 болып тіркелді. Күші жойылды - Павлодар облысы Ақсу қалалық әкімдігінің 2016 жылғы 11 қаңтардағы № 21/1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11.01.2016 № 21/1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Ақсу қаласы әкімдігі атқарушы органдарының "Б" корпусы мемлекеттік әкімшілік қызметшілерінің қызметін жыл сайынғы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Ақсу қаласы әкімдігінің 2015 жылғы 16 қаңтардағы "Ақсу қаласы әкімдігі атқарушы органдары "Б" корпусы мемлекеттік әкімшілік қызметшілерінің қызметін жыл сайынғы бағалаудың әдістемесін бекіту туралы" № 23/1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4296 болып тіркелген, 2015 жылғы 20 ақпандағы № 7 “Ақсу жолы” және № 7 “Новый путь”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Ақсу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 2015 жылғы 20 сәуірдегі № 305/4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Ақсу қаласы әкімдігі атқарушы органдарының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жыл сайынғы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Ақсу қаласы әкімдігі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 </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 </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Ақсу қаласы әкімі аппаратының басшысы болып табылады.</w:t>
      </w:r>
      <w:r>
        <w:br/>
      </w:r>
      <w:r>
        <w:rPr>
          <w:rFonts w:ascii="Times New Roman"/>
          <w:b w:val="false"/>
          <w:i w:val="false"/>
          <w:color w:val="000000"/>
          <w:sz w:val="28"/>
        </w:rPr>
        <w:t>
      Комиссия хатшысы Ақсу қаласы әкімі аппаратының персоналды басқару бөлімінің (бұдан әрі - персоналды басқару бөлімі)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 </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 </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нОсы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 xml:space="preserve">гПерсоналды басқару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 xml:space="preserve">13-тармағында көрсетілген </w:t>
      </w:r>
      <w:r>
        <w:rPr>
          <w:rFonts w:ascii="Times New Roman"/>
          <w:b w:val="false"/>
          <w:i w:val="false"/>
          <w:color w:val="000000"/>
          <w:sz w:val="28"/>
        </w:rPr>
        <w:t xml:space="preserve"> тұлғалардың орта бағасы.</w:t>
      </w:r>
      <w:r>
        <w:br/>
      </w:r>
      <w:r>
        <w:rPr>
          <w:rFonts w:ascii="Times New Roman"/>
          <w:b w:val="false"/>
          <w:i w:val="false"/>
          <w:color w:val="000000"/>
          <w:sz w:val="28"/>
        </w:rPr>
        <w:t>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20.</w:t>
      </w:r>
      <w:r>
        <w:rPr>
          <w:rFonts w:ascii="Times New Roman"/>
          <w:b w:val="false"/>
          <w:i w:val="false"/>
          <w:color w:val="000000"/>
          <w:sz w:val="28"/>
        </w:rPr>
        <w:t xml:space="preserve">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21.</w:t>
      </w:r>
      <w:r>
        <w:rPr>
          <w:rFonts w:ascii="Times New Roman"/>
          <w:b w:val="false"/>
          <w:i w:val="false"/>
          <w:color w:val="000000"/>
          <w:sz w:val="28"/>
        </w:rPr>
        <w:t>тКомиссия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г персоналды басқару бөлімі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r>
        <w:br/>
      </w:r>
      <w:r>
        <w:rPr>
          <w:rFonts w:ascii="Times New Roman"/>
          <w:b w:val="false"/>
          <w:i w:val="false"/>
          <w:color w:val="000000"/>
          <w:sz w:val="28"/>
        </w:rPr>
        <w:t>
      23.</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24.</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25.</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26.</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367"/>
        <w:gridCol w:w="84"/>
        <w:gridCol w:w="3620"/>
        <w:gridCol w:w="1704"/>
        <w:gridCol w:w="7"/>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____________________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басшысы </w:t>
            </w:r>
            <w:r>
              <w:br/>
            </w:r>
            <w:r>
              <w:rPr>
                <w:rFonts w:ascii="Times New Roman"/>
                <w:b w:val="false"/>
                <w:i w:val="false"/>
                <w:color w:val="000000"/>
                <w:sz w:val="20"/>
              </w:rPr>
              <w:t>
Т.А.Ә.________________________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