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fe18" w14:textId="8dff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қаңтардан бастап наурызға дейін Қазақстан Республикасы ер азаматтарының Солтүстік Қазақстан облысы Айыртау ауданының аумағында тіркеуін және медициналық куәландыруын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Айыртау аудандық әкімінің 2015 жылғы 5 қазандағы № 34 шешімі. Солтүстік Қазақстан облысының Әділет департаментінде 2015 жылғы 21 қазандағы N 3424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Үкіметінің 2012 жылғы 27 маусымдағы № 859 "Әскери міндеттілер мен әскерге шақырылушыларды әскери есепке алуды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әскери есепке қою мақсатында, Солтүстік Қазақстан облысы Айыртау ауданының әкімі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2016 жылғы қаңтардан бастап наурызға дейін тіркеу жылы он жеті жасқа толатын Қазақстан Республикасы ер азаматтарының "Солтүстік Қазақстан облысы Айыртау ауданының қорғаныс істері жөніндегі бөлімі" мемлекеттік мекемесінің әскерге шақыру учаскесінде (келісім бойынша) тіркеуі және медициналық куәландыруы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 бақылау Солтүстік Қазақстан облысы Айыртау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3.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ауданының</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05 қазан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Н.Әубәкіров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