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81eb" w14:textId="cb28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2015 жылғы 31 наурыздағы № 37-2 шешімі. Солтүстік Қазақстан облысының Әділет департаментінде 2015 жылғы 20 сәуірде N 3221 болып тіркелді. Қолданылу мерзімінің өтуіне байланысты күші жойылды (Солтүстік Қазақстан облысы Мағжан Жұмабаев ауданы мәслихаты аппаратының 2016 жылғы 13 қаңтардағы N 10.2.1-15/7)</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Мағжан Жұмабаев ауданы мәслихаты аппаратының 13.01.2016 N 10.2.1-15/7).</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Аудан әкімімен мәлімделген қажеттілікті ескере отырып, Солтүстік Қазақстан облысы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шешімнің 1-тармағындағы 1) және 2) тармақшалардың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 xml:space="preserve">мәслихаты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