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e94d" w14:textId="700e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2015 жылғы 7 қазандағы № 42/2 шешімі. Солтүстік Қазақстан облысының Әділет департаментінде 2015 жылғы 27 қазанда N 3431 болып тіркелді. Қолданылу мерзімінің өтуіне байланысты күші жойылды (Солтүстік Қазақстан облысы Шал ақын ауданы мәслихаты аппаратының 2016 жылғы 11 ақпандағы N 15.2.02-04/31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Шал ақын ауданы мәслихаты аппаратының 11.02.2016 N 15.2.02-04/31 хаты).</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08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Шал ақын ауданының әкімімен мәлімделген қажеттіліктерді ескере отыра, 2015 жылы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жетпіс есе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xml:space="preserve">2) тұрғын үй сатып алу немесе салу үшін, бір мың бес жүз есе айлық есептік көрсеткіштен аспайтын сомада бюджеттік кредит түрінде әлеуметтік қолдау ұсынылады. </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ХLІІ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