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c5a0" w14:textId="aa4c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ауданында бөлек жергілікті қоғамдастық жиындарын өткізу және жергілікті қоғамдастық жиынына қатысу үшін аудандық маңызы бар қала, кент,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21 шілдедегі № 46-290-V шешімі. Оңтүстік Қазақстан облысының Әділет департаментінде 2015 жылғы 19 тамызда № 3320 болып тіркелді. Күші жойылды - Түркістан облысы Мақтаарал аудандық мәслихатының 2022 жылғы 15 маусымдағы № 22-141-VII (алғашқы ресми жарияланған күнінен кейін күнтізбелік он күн өткен соң қолданысқа енгізіледі)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аудандық мәслихатының 15.06.2022 № 22-141-VII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ауданында бөлек жергілікті қоғамдастық жиындарын өткізу және жергілікті қоғамдастық жиынына қатысу үшін аудандық маңызы бар қала, кенттер, ауыл, көше, көппәтерлі тұрғын үй тұрғындары өкілдерінің санын айқындау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төрағасы</w:t>
      </w:r>
      <w:r>
        <w:rPr>
          <w:rFonts w:ascii="Times New Roman"/>
          <w:b w:val="false"/>
          <w:i/>
          <w:color w:val="000000"/>
          <w:sz w:val="28"/>
        </w:rPr>
        <w:t xml:space="preserve">: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</w:t>
      </w:r>
      <w:r>
        <w:rPr>
          <w:rFonts w:ascii="Times New Roman"/>
          <w:b w:val="false"/>
          <w:i/>
          <w:color w:val="000000"/>
          <w:sz w:val="28"/>
        </w:rPr>
        <w:t>А.Сатыбалдиев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хатшысы</w:t>
      </w:r>
      <w:r>
        <w:rPr>
          <w:rFonts w:ascii="Times New Roman"/>
          <w:b w:val="false"/>
          <w:i/>
          <w:color w:val="000000"/>
          <w:sz w:val="28"/>
        </w:rPr>
        <w:t xml:space="preserve">: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</w:t>
      </w:r>
      <w:r>
        <w:rPr>
          <w:rFonts w:ascii="Times New Roman"/>
          <w:b w:val="false"/>
          <w:i/>
          <w:color w:val="000000"/>
          <w:sz w:val="28"/>
        </w:rPr>
        <w:t>О.Дәндібаев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 46-290-V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ауданында бөлек жергілікті қоғамдастық жиындарын өткізу және жергілікті қоғамдастық жиынына қатысу үшін аудандық маңызы бар қала, кент, ауыл, көше, көппәтерлі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аудандық маңызы бар қала, кент, ауыл, көше, көппәтерлі тұрғын үй тұрғындарының бөлек жергілікті қоғамдастық жиындарын өткізудің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маңызы бар қала, кенттер,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аудандық маңызы бар қаланың, кенттің, ауылдық округтің әкімдерімен шақырылады.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аудандық маңызы бар қаланың, кенттің және ауылдық округтің әкімімен ұйымдастырылады.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қала, кент, ауылдық округ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кент,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аудандық маңызы бар қала, кент, ауыл, көше, көппәтерлі тұрғын үй тұрғындары өкілдерінің кандидатураларын Мақтаарал аудандық мәслихаты бекіткен сандық құрамға сәйкес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аудандық маңызы бар қала, кент, ауыл, көше, көппәтерлі тұрғын үй тұрғындары өкілдерінің саны тең өкілдік ету қағидаты негізінде айқындалады.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аудандық маңызы бар қала, кент және ауылдық округ әкімінің аппаратына береді.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Жергілікті қоғамдастық жиынына қатысу үшін аудандық маңызы бар қала, кент, ауыл, көше, көппәтерлі тұрғын үй тұрғындары өкілдерінің санын айқындау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 жиынына қатысу үшін аудандық маңызы бар қала, кент, ауыл, көше, көппәтерлі тұрғын үй тұрғындары өкілдерінің саны төмендегідей айқындалады: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2000 адамға дейінгі елді мекендерде 2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2000 мен 4000 адам аралығындағы елді мекендерде 3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4000 адамнан жоғары елді мекендерде 4 өкілге дейін.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 жиынына қатысу үшін ауыл тұрғындары өкілдерінің саны: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1-3 ауыл енетін ауылдық округтерде 10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4-6 ауыл енетін ауылдық округтерде 15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7 немесе одан көп ауыл енетін ауылдық округтерде 20 өкілге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