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f572" w14:textId="f0b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15 желтоқсандағы N 344 қаулысы. Шығыс Қазақстан облысының Әділет департаментінде 2015 жылғы 24 желтоқсанда N 4292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2015 жылғы 9 желтоқсандағы № 3-2-10/29430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3886, 2015 жылғы 29 сәуірдегі № 47 (17136) "Дидар", 2015 жылғы 28 сәуірдегі (19647) № 48 "Рудный Алтай" газеттерінде жарияланған) </w:t>
      </w:r>
      <w:r>
        <w:rPr>
          <w:rFonts w:ascii="Times New Roman"/>
          <w:b/>
          <w:i w:val="false"/>
          <w:color w:val="000000"/>
          <w:sz w:val="28"/>
        </w:rPr>
        <w:t>мына</w:t>
      </w:r>
      <w:r>
        <w:rPr>
          <w:rFonts w:ascii="Times New Roman"/>
          <w:b/>
          <w:i w:val="false"/>
          <w:color w:val="000000"/>
          <w:sz w:val="28"/>
        </w:rPr>
        <w:t>дай</w:t>
      </w:r>
      <w:r>
        <w:rPr>
          <w:rFonts w:ascii="Times New Roman"/>
          <w:b/>
          <w:i w:val="false"/>
          <w:color w:val="000000"/>
          <w:sz w:val="28"/>
        </w:rPr>
        <w:t xml:space="preserve"> өзгеріс</w:t>
      </w:r>
      <w:r>
        <w:rPr>
          <w:rFonts w:ascii="Times New Roman"/>
          <w:b/>
          <w:i w:val="false"/>
          <w:color w:val="000000"/>
          <w:sz w:val="28"/>
        </w:rPr>
        <w:t xml:space="preserve">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"15" желтоқсандағы №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наурыздағы № 74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субсидиялардың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631"/>
        <w:gridCol w:w="361"/>
        <w:gridCol w:w="2162"/>
        <w:gridCol w:w="2718"/>
        <w:gridCol w:w="2856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4 105 901,6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43 996,554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45 346,554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21 279,049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8 259 282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