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2ca4" w14:textId="f002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2014 жылғы 21 сәуірдегі № 4852 "Өскемен қаласының сәулет және қала құрылысы бөлімі" мемлекеттік мекемесі туралы Ережені бекіту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07 шілдедегі № 11919 қаулысы. Шығыс Қазақстан облысының Әділет департаментінде 2015 жылғы 07 тамызда № 4086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2014 жылғы 5 шілдедегі Әкімшілік құқық бұзушылық туралы кодексінің </w:t>
      </w:r>
      <w:r>
        <w:rPr>
          <w:rFonts w:ascii="Times New Roman"/>
          <w:b w:val="false"/>
          <w:i w:val="false"/>
          <w:color w:val="000000"/>
          <w:sz w:val="28"/>
        </w:rPr>
        <w:t>729</w:t>
      </w:r>
      <w:r>
        <w:rPr>
          <w:rFonts w:ascii="Times New Roman"/>
          <w:b w:val="false"/>
          <w:i w:val="false"/>
          <w:color w:val="000000"/>
          <w:sz w:val="28"/>
        </w:rPr>
        <w:t xml:space="preserve">, </w:t>
      </w:r>
      <w:r>
        <w:rPr>
          <w:rFonts w:ascii="Times New Roman"/>
          <w:b w:val="false"/>
          <w:i w:val="false"/>
          <w:color w:val="000000"/>
          <w:sz w:val="28"/>
        </w:rPr>
        <w:t>804-баптарына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"Өскемен қаласының сәулет және қала құрылысы бөлімі" мемлекеттік мекемесі туралы Ережені бекіту туралы" 2014 жылғы 21 сәуірдегі № 4852 (Нормативтік құқықтық актілерді мемлекеттік тіркеу тізілімінде № 3314 тіркелген, 2014 жылғы 22 мамырда "Өскемен", "Усть-Каменогорск"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"Өскемен қаласының сәулет және қала құрылысы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"15-1) Қазақстан Республикасының заңдарымен жарнамалауға тыйым салынған тауарлардың (жұмыстар мен көрсетілетін қызметтердің) жарнамасын шығару, тарату, орналастыру және пайдалану түрінде жасалған Қазақстан Республикасының жарнама туралы заңнамасын бұзғаны үшін әкімшілік құқық бұзушылық туралы хаттамаларды әзірлеу;".</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