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6695" w14:textId="c616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2015 жылғы 27 қаңтардағы № 32/223-V "Тұрғын үй көмегін көрсетудің мөлшері мен тәртібін айқындау туралы Қағиданы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2015 жылғы 17 наурыздағы N 34/240-V шешімі. Шығыс Қазақстан облысының Әділет департаментінде 2015 жылғы 10 сәуірде N 3868 болып тіркелді. Күші жойылды - Шығыс Қазақстан облысы Аягөз аудандық мәслихатының 2020 жылғы 8 желтоқсандағы № 54/505-VI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және Қазақстан Республикасы Құрылыс және тұрғын үй-коммуналдық шаруашылық істері агенттігі Төрағасының 2011 жылғы 5 желтоқсандағы № 471 "Тұрғын үй көмегін алуға, сондай-ақ мемлекеттік тұрғын үй қорынан тұрғын үйді немесе жеке тұрғын үй қорынан жергілікті атқарушы орган жалдаған тұрғын үйді алуға үміткер отбасының (азаматтың) жиынтық табысын есептеу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аудандық мәслихатының 2015 жылғы 27 қаңтардағы №32/223-V "Тұрғын үй көмегін көрсетудің мөлшері мен тәртібін айқындау туралы Қағиданы бекіту туралы" (Нормативтік құқықтық актілерді мемлекеттік тіркеу Тізілімінде 3688 нөмірімен тіркелген, "Аягөз жаңалықтары" газетінің 2015 жылдың 7 наурызында 19-20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 құрамында жұмысқа жарамды, бірақ жұмыс істемейтін, оқымайтын, әскер қатарында қызмет етпейтін, өзін-өзі жұмыспен қамтымайтын және жұмыспен қамту мәселелері бойынша уәкілетті органда тіркелмеген тұлғалары бар, келесі тұлғаларды қоспағанда: бірінші және екінші топтағы мүгедектерді, 18 жасқа дейінгі мүгедек-балаларды, сексен жастан асқан тұлғаларды күтетін тұлғаларды, үш жасқа дейінгі баланы тәрбиелеумен айналысатын аналарды;".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кейiн күнтiзбелiк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