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40db" w14:textId="eff4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Аңқаты ауылдық округінің Жаңа ауыл, Сатымшеген, Қандық, Тасаншеген, Ерсары, Рыбцех ауылдарының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Аңқаты ауылдық округі әкімінің 2015 жылғы 17 шілдедегі № 6 шешімі. Батыс Қазақстан облысының Әділет департаментінде 2015 жылғы 18 тамызда № 3993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Жаңа ауыл, Сатымшеген, Қандық, Тасаншеген, Ерсары, Рыбцех ауылдары халқының пікірін ескере отырып және Батыс Қазақстан облыстық ономастика комиссиясының қорытындысы негізінде, Аңқаты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Теректі ауданы Аңқаты ауылдық округінің Жаңа ауыл, Сатымшеген, Қандық, Тасаншеген, Ерсары, Рыбцех ауылдарының атаусыз көшелеріне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етуді және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Аңқаты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Кадыралиев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Аңқаты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17 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Аңқаты ауылдық округінің Жаңа ауыл, Сатымшеген, Қандық, </w:t>
      </w:r>
      <w:r>
        <w:br/>
      </w:r>
      <w:r>
        <w:rPr>
          <w:rFonts w:ascii="Times New Roman"/>
          <w:b/>
          <w:i w:val="false"/>
          <w:color w:val="000000"/>
        </w:rPr>
        <w:t>Тасаншеген, Ерсары, Рыбцех ауылдарының атаусыз көшелерінің атаулары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Жаңа ауыл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 "1 К" – "Ынтымақ"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Сатымшеген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 "1 К" – "Бауыржан Момышұлы"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 "2 К" – "Желтоқсан"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 "3 К" – "Береке"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Қандық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 "1 К" – "Абай Құнанбаев"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 "2 К" – "Алексей Васильевич Черекаев"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 "3 К" – "Қ. Сәтпаев"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 "4 К" – "Тәуелсіздік"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Тасаншеген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 "1 К" – "Әділет"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Ерсары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 "1 К" – "Т. Рысқұлов"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 "2 К"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 "3 К" – "Астана"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 "4 К" – "Атамекен"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Рыбцех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 "1 К" – "Шалқар"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 "2 К" – "Бірлік"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