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e1c51" w14:textId="93e1c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қала құрылысы кадастры саласында мемлекеттік монополия субъектісі өндіретін және (немесе) өткізетін тауарлардың (жұмыстардың, қызметтердің) бағаларын белгілеу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2016 жылғы 29 ақпандағы № 114 бұйрығы. Қазақстан Республикасының Әділет министрлігінде 2016 жылы 29 наурызда № 13550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сәулет, қала құрылысы және құрылыс қызметі туралы" 2001 жылғы 16 шілдедегі Қазақстан Республикасы Заңының 38-бабының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Осы бұйрыққа қосымшаға сәйкес қоса берілген Мемлекеттік қала құрылысы кадастры саласында мемлекеттік монополия субъектісі өндіретін және (немесе) өткізетін тауарлардың (жұмыстардың, қызметтердің) бағалары белгіленсін.</w:t>
      </w:r>
    </w:p>
    <w:bookmarkEnd w:id="1"/>
    <w:bookmarkStart w:name="z3" w:id="2"/>
    <w:p>
      <w:pPr>
        <w:spacing w:after="0"/>
        <w:ind w:left="0"/>
        <w:jc w:val="both"/>
      </w:pPr>
      <w:r>
        <w:rPr>
          <w:rFonts w:ascii="Times New Roman"/>
          <w:b w:val="false"/>
          <w:i w:val="false"/>
          <w:color w:val="000000"/>
          <w:sz w:val="28"/>
        </w:rPr>
        <w:t>
      2. Құрылыс, тұрғын үй-коммуналдық шаруашылық істері және жер ресурстарын басқару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Ұлттық экономика министрлігінің интернет-ресурсында орналастырылуын;</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күнтізбелік он күннің ішінде осы бұйрықтың көшірмесін баспа және электрондық түрде мерзімді баспасөз басылымдарында және "Әділет" ақпараттық-құқықтық жүйесінде ресми жариялануға, сондай-ақ тіркелген бұйрық алынған күннен бастап бес жұмыс күні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жіберілуін;      </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күнінің ішінде осы тармақтың</w:t>
      </w:r>
    </w:p>
    <w:bookmarkEnd w:id="6"/>
    <w:p>
      <w:pPr>
        <w:spacing w:after="0"/>
        <w:ind w:left="0"/>
        <w:jc w:val="both"/>
      </w:pPr>
      <w:r>
        <w:rPr>
          <w:rFonts w:ascii="Times New Roman"/>
          <w:b w:val="false"/>
          <w:i w:val="false"/>
          <w:color w:val="000000"/>
          <w:sz w:val="28"/>
        </w:rPr>
        <w:t>
      1), 2) және 3) тармақшаларында көзделген іс-шаралардың орындалуы туралы мәліметтердің Қазақстан Республикасы Ұлттық экономика министрлігінің Заң департаментіне ұсынылуын қамтамасыз етсін.</w:t>
      </w:r>
    </w:p>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Ұлттық экономика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экономика 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29 ақпандағы № 114</w:t>
            </w:r>
            <w:r>
              <w:br/>
            </w:r>
            <w:r>
              <w:rPr>
                <w:rFonts w:ascii="Times New Roman"/>
                <w:b w:val="false"/>
                <w:i w:val="false"/>
                <w:color w:val="000000"/>
                <w:sz w:val="20"/>
              </w:rPr>
              <w:t>бұйрығына 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Мемлекеттік қала құрылысы кадастры саласында  мемлекеттік монополия субъектісі өндіретін және (немесе) өткізетін  тауарлардың (жұмыстардың, қызметтердің) бағалары</w:t>
      </w:r>
    </w:p>
    <w:p>
      <w:pPr>
        <w:spacing w:after="0"/>
        <w:ind w:left="0"/>
        <w:jc w:val="both"/>
      </w:pPr>
      <w:r>
        <w:rPr>
          <w:rFonts w:ascii="Times New Roman"/>
          <w:b w:val="false"/>
          <w:i w:val="false"/>
          <w:color w:val="ff0000"/>
          <w:sz w:val="28"/>
        </w:rPr>
        <w:t xml:space="preserve">
      Ескерту. Қосымша жаңа редакцияда – ҚР Өнеркәсіп және құрылыс министрінің 25.12.2023 </w:t>
      </w:r>
      <w:r>
        <w:rPr>
          <w:rFonts w:ascii="Times New Roman"/>
          <w:b w:val="false"/>
          <w:i w:val="false"/>
          <w:color w:val="ff0000"/>
          <w:sz w:val="28"/>
        </w:rPr>
        <w:t>№ 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Мемлекеттік қала құрылысы кадастрындағы ақпаратты есепке алу (тіркеу, деректерді енгізу)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р/с</w:t>
            </w:r>
          </w:p>
          <w:p>
            <w:pPr>
              <w:spacing w:after="20"/>
              <w:ind w:left="20"/>
              <w:jc w:val="both"/>
            </w:pPr>
          </w:p>
          <w:p>
            <w:pPr>
              <w:spacing w:after="20"/>
              <w:ind w:left="20"/>
              <w:jc w:val="both"/>
            </w:pPr>
            <w:r>
              <w:rPr>
                <w:rFonts w:ascii="Times New Roman"/>
                <w:b/>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Бағасы, теңге (қосымша құн салығын есепке алмай)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алдындағы және жобалау құжаттамасы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Инженерлік-геодезиялық ізденістер материалдары (топографиялық және атқарушылық түсірілім)1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жауапкершіліктің III (төмендетілген) деңгейіндегі объектілері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жағынан күрделі емес, жауапкершіліктің II (қалыпты) деңгейіндегі объектілер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жағынан күрделі, жауапкершіліктің I (жоғары) және II (қалыпты) деңгейіндегі объектілері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күрделі объектілердің</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9"/>
          <w:p>
            <w:pPr>
              <w:spacing w:after="20"/>
              <w:ind w:left="20"/>
              <w:jc w:val="both"/>
            </w:pPr>
            <w:r>
              <w:rPr>
                <w:rFonts w:ascii="Times New Roman"/>
                <w:b w:val="false"/>
                <w:i w:val="false"/>
                <w:color w:val="000000"/>
                <w:sz w:val="20"/>
              </w:rPr>
              <w:t>
*Ескертпе:</w:t>
            </w:r>
          </w:p>
          <w:bookmarkEnd w:id="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объектілерді техникалық және (немесе) технологиялық жағынан күрделі объектілерге жатқызу Ғимараттар мен құрылыстарды техникалық және (немесе) технологиялық жағынан күрделі объектілерге жатқызудың жалпы тәртібін айқындау қағидаларына сәйкес айқындалады (Қазақстан Республикасы Ұлттық экономика министрінің 2015 жылғы 28 ақпандағы № 165 </w:t>
            </w:r>
            <w:r>
              <w:rPr>
                <w:rFonts w:ascii="Times New Roman"/>
                <w:b w:val="false"/>
                <w:i w:val="false"/>
                <w:color w:val="000000"/>
                <w:sz w:val="20"/>
              </w:rPr>
              <w:t>бұйрығы</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2) ұсынылған материалдарды мемлекеттік қала құрылысы кадастрын жүргізу және инженерлік-геодезиялық ізденістер жүргізу жөніндегі нормативтердің ережелеріне сәйкестікке талдау, мемлекеттік қала құрылысы кадастрының автоматтандырылған ақпараттық жүйесінде (бұдан әрі – МҚҚК ААЖ) кеңістіктік байланыстыруды жүзеге асыру.</w:t>
            </w:r>
          </w:p>
          <w:p>
            <w:pPr>
              <w:spacing w:after="20"/>
              <w:ind w:left="20"/>
              <w:jc w:val="both"/>
            </w:pPr>
            <w:r>
              <w:rPr>
                <w:rFonts w:ascii="Times New Roman"/>
                <w:b w:val="false"/>
                <w:i w:val="false"/>
                <w:color w:val="000000"/>
                <w:sz w:val="20"/>
              </w:rPr>
              <w:t xml:space="preserve">
3) тіркеу тәртібі Қала құрылысы жобаларын, жобалау алдындағы және жобалау (жобалау-сметалық) құжаттамасын, сондай-ақ сәулет, қала құрылысы және құрылыс қызметі объектілерін мемлекеттік қала құрылысы кадастрының деректер базасында тіркеу қағидаларына (Қазақстан Республикасы Өңірлік даму министрінің 2014 жылғы 16 маусымдағы № 172/НҚ </w:t>
            </w:r>
            <w:r>
              <w:rPr>
                <w:rFonts w:ascii="Times New Roman"/>
                <w:b w:val="false"/>
                <w:i w:val="false"/>
                <w:color w:val="000000"/>
                <w:sz w:val="20"/>
              </w:rPr>
              <w:t>бұйрығы</w:t>
            </w:r>
            <w:r>
              <w:rPr>
                <w:rFonts w:ascii="Times New Roman"/>
                <w:b w:val="false"/>
                <w:i w:val="false"/>
                <w:color w:val="000000"/>
                <w:sz w:val="20"/>
              </w:rPr>
              <w:t>) сәйкес жүзеге асырылады.</w:t>
            </w:r>
          </w:p>
        </w:tc>
      </w:tr>
    </w:tbl>
    <w:bookmarkStart w:name="z25" w:id="10"/>
    <w:p>
      <w:pPr>
        <w:spacing w:after="0"/>
        <w:ind w:left="0"/>
        <w:jc w:val="left"/>
      </w:pPr>
      <w:r>
        <w:rPr>
          <w:rFonts w:ascii="Times New Roman"/>
          <w:b/>
          <w:i w:val="false"/>
          <w:color w:val="000000"/>
        </w:rPr>
        <w:t xml:space="preserve"> 2-тарау. Мемлекеттік қала құрылысы кадастрынан мәліметтер ұсыну</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Бағасы, теңге (қосымша құн салығын есепке алмай)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МҚҚК ААЖ-дан жобалау алдындағы және жобалау құжаттамалары бойынша мәліметтер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МҚҚК ААЖ-дан инженерлік желілердің, ғимараттардың және (немесе) құрылыстардың нақты орналасу схемасын ұсыну (үзінді көшірме)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қала құрылысы жобаларынан (БЖ, ЕТЖЖ) кадастрлық жоспарды жасау және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МҚҚК ААЖ арқылы ақпараттық ресурстарға қол жетімділікті беру: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пайдаланушының қолжетімділігі (ай)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шекаралардағы барлық ақпараттық қабаттарға </w:t>
            </w:r>
            <w:r>
              <w:rPr>
                <w:rFonts w:ascii="Times New Roman"/>
                <w:b w:val="false"/>
                <w:i/>
                <w:color w:val="000000"/>
                <w:sz w:val="20"/>
              </w:rPr>
              <w:t>(ашық деректер)</w:t>
            </w: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елді мекеннің;</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елді мекеннің және астананың;</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2 079</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шекаралардағы бір ақпараттық қабатқа:</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елді мекеннің;</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елді мекеннің және астананың.</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1"/>
          <w:p>
            <w:pPr>
              <w:spacing w:after="20"/>
              <w:ind w:left="20"/>
              <w:jc w:val="both"/>
            </w:pPr>
            <w:r>
              <w:rPr>
                <w:rFonts w:ascii="Times New Roman"/>
                <w:b w:val="false"/>
                <w:i w:val="false"/>
                <w:color w:val="000000"/>
                <w:sz w:val="20"/>
              </w:rPr>
              <w:t>
Ескертпе:</w:t>
            </w:r>
          </w:p>
          <w:bookmarkEnd w:id="11"/>
          <w:p>
            <w:pPr>
              <w:spacing w:after="20"/>
              <w:ind w:left="20"/>
              <w:jc w:val="both"/>
            </w:pPr>
            <w:r>
              <w:rPr>
                <w:rFonts w:ascii="Times New Roman"/>
                <w:b w:val="false"/>
                <w:i w:val="false"/>
                <w:color w:val="000000"/>
                <w:sz w:val="20"/>
              </w:rPr>
              <w:t>
</w:t>
            </w:r>
            <w:r>
              <w:rPr>
                <w:rFonts w:ascii="Times New Roman"/>
                <w:b w:val="false"/>
                <w:i w:val="false"/>
                <w:color w:val="000000"/>
                <w:sz w:val="20"/>
              </w:rPr>
              <w:t>1) МҚҚК ААЖ базасынан аумақтың кадастрлық жоспары мен схемалары бастапқы координаттар жүйесіндегі dwg-файл немесе shp-файл форматында ұсынылады. Бастапқы координаттар жүйесінде shp-файл форматындағы схемаларды дайындау құны 1,2 коэффициентімен осы кестенің бағалары бойынша айқындалады;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МҚҚК ААЖ-дан мәліметтерді беру тәртібі Қазақстан Республикасының мемлекеттік қала құрылысы кадастрын жүргізудің және одан ақпарат және (немесе) мәліметтер ұсынудың қағидаларына (Қазақстан Республикасы Ұлттық экономика министрінің 2015 жылғы 20 наурыздағы № 244 </w:t>
            </w:r>
            <w:r>
              <w:rPr>
                <w:rFonts w:ascii="Times New Roman"/>
                <w:b w:val="false"/>
                <w:i w:val="false"/>
                <w:color w:val="000000"/>
                <w:sz w:val="20"/>
              </w:rPr>
              <w:t>бұйрығы</w:t>
            </w:r>
            <w:r>
              <w:rPr>
                <w:rFonts w:ascii="Times New Roman"/>
                <w:b w:val="false"/>
                <w:i w:val="false"/>
                <w:color w:val="000000"/>
                <w:sz w:val="20"/>
              </w:rPr>
              <w:t>) сәйкес жүзеге асырылады.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3) ақпараттық қабаттар Мемлекеттік қала құрылысы кадастрын жүргізу бойынша бекітілген нормативтік құжатқа сәйкес айқындалады (ҚР ИИДМ ҚТҮКШІК төрағасының 2022 жылғы 2 қарашадағы № 201-НҚ бұйрығы);</w:t>
            </w:r>
          </w:p>
          <w:p>
            <w:pPr>
              <w:spacing w:after="20"/>
              <w:ind w:left="20"/>
              <w:jc w:val="both"/>
            </w:pPr>
            <w:r>
              <w:rPr>
                <w:rFonts w:ascii="Times New Roman"/>
                <w:b w:val="false"/>
                <w:i w:val="false"/>
                <w:color w:val="000000"/>
                <w:sz w:val="20"/>
              </w:rPr>
              <w:t xml:space="preserve">
4) Ақпарат ұсыну және МҚҚК ААЖ қабаттарына қолжетімділік беру "Мемлекеттік құпиялар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жүзеге асырылады.</w:t>
            </w:r>
          </w:p>
        </w:tc>
      </w:tr>
    </w:tbl>
    <w:bookmarkStart w:name="z30" w:id="12"/>
    <w:p>
      <w:pPr>
        <w:spacing w:after="0"/>
        <w:ind w:left="0"/>
        <w:jc w:val="left"/>
      </w:pPr>
      <w:r>
        <w:rPr>
          <w:rFonts w:ascii="Times New Roman"/>
          <w:b/>
          <w:i w:val="false"/>
          <w:color w:val="000000"/>
        </w:rPr>
        <w:t xml:space="preserve"> 3-тарау. Инженерлік коммуникацияларды түгендеу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Жұмыстардың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Күрделілік санаты1, теңге/га (қосымша құн салығын есепке алмай)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масштабты жоспарды құра отырып, құрылыс салынған аумақтардағы жерасты және жерүсті коммуникацияларын түгендеу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масштабты жоспарды құра отырып, құрылыс салынбаған аумақтардағы жерасты және жерүсті коммуникацияларын түгендеу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3"/>
          <w:p>
            <w:pPr>
              <w:spacing w:after="20"/>
              <w:ind w:left="20"/>
              <w:jc w:val="both"/>
            </w:pPr>
            <w:r>
              <w:rPr>
                <w:rFonts w:ascii="Times New Roman"/>
                <w:b w:val="false"/>
                <w:i w:val="false"/>
                <w:color w:val="000000"/>
                <w:sz w:val="20"/>
              </w:rPr>
              <w:t>
Ескертпе:</w:t>
            </w:r>
          </w:p>
          <w:bookmarkEnd w:id="13"/>
          <w:p>
            <w:pPr>
              <w:spacing w:after="20"/>
              <w:ind w:left="20"/>
              <w:jc w:val="both"/>
            </w:pPr>
            <w:r>
              <w:rPr>
                <w:rFonts w:ascii="Times New Roman"/>
                <w:b w:val="false"/>
                <w:i w:val="false"/>
                <w:color w:val="000000"/>
                <w:sz w:val="20"/>
              </w:rPr>
              <w:t>
</w:t>
            </w:r>
            <w:r>
              <w:rPr>
                <w:rFonts w:ascii="Times New Roman"/>
                <w:b w:val="false"/>
                <w:i w:val="false"/>
                <w:color w:val="000000"/>
                <w:sz w:val="20"/>
              </w:rPr>
              <w:t>1) түгендеудің күрделілік санатының сипаттамасы:</w:t>
            </w:r>
          </w:p>
          <w:p>
            <w:pPr>
              <w:spacing w:after="20"/>
              <w:ind w:left="20"/>
              <w:jc w:val="both"/>
            </w:pPr>
            <w:r>
              <w:rPr>
                <w:rFonts w:ascii="Times New Roman"/>
                <w:b w:val="false"/>
                <w:i w:val="false"/>
                <w:color w:val="000000"/>
                <w:sz w:val="20"/>
              </w:rPr>
              <w:t>
</w:t>
            </w:r>
            <w:r>
              <w:rPr>
                <w:rFonts w:ascii="Times New Roman"/>
                <w:b w:val="false"/>
                <w:i/>
                <w:color w:val="000000"/>
                <w:sz w:val="20"/>
              </w:rPr>
              <w:t>Құрылыс салынған аумақтар:</w:t>
            </w:r>
          </w:p>
          <w:p>
            <w:pPr>
              <w:spacing w:after="20"/>
              <w:ind w:left="20"/>
              <w:jc w:val="both"/>
            </w:pPr>
            <w:r>
              <w:rPr>
                <w:rFonts w:ascii="Times New Roman"/>
                <w:b w:val="false"/>
                <w:i w:val="false"/>
                <w:color w:val="000000"/>
                <w:sz w:val="20"/>
              </w:rPr>
              <w:t>
</w:t>
            </w:r>
            <w:r>
              <w:rPr>
                <w:rFonts w:ascii="Times New Roman"/>
                <w:b w:val="false"/>
                <w:i/>
                <w:color w:val="000000"/>
                <w:sz w:val="20"/>
              </w:rPr>
              <w:t>1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ахуалы қарапайым/құрылысы сирек, аздап жерасты коммуникациялары, рельс жолдары, жеке тұрған ағаштарымен көгалдары бар елді мекендер, көлік пен жаяу жүргіншілер қозғалысы баяу;</w:t>
            </w:r>
          </w:p>
          <w:p>
            <w:pPr>
              <w:spacing w:after="20"/>
              <w:ind w:left="20"/>
              <w:jc w:val="both"/>
            </w:pPr>
            <w:r>
              <w:rPr>
                <w:rFonts w:ascii="Times New Roman"/>
                <w:b w:val="false"/>
                <w:i w:val="false"/>
                <w:color w:val="000000"/>
                <w:sz w:val="20"/>
              </w:rPr>
              <w:t>
</w:t>
            </w:r>
            <w:r>
              <w:rPr>
                <w:rFonts w:ascii="Times New Roman"/>
                <w:b w:val="false"/>
                <w:i w:val="false"/>
                <w:color w:val="000000"/>
                <w:sz w:val="20"/>
              </w:rPr>
              <w:t>қарапайым конфигурациялы құрылыс салынған, жерасты және жерүсті коммуникацияларының сирек желісі, отырғызылған шағын екпелері мен ахуалдың басқа элементтері бар орамішілік аумақтар.</w:t>
            </w:r>
          </w:p>
          <w:p>
            <w:pPr>
              <w:spacing w:after="20"/>
              <w:ind w:left="20"/>
              <w:jc w:val="both"/>
            </w:pPr>
            <w:r>
              <w:rPr>
                <w:rFonts w:ascii="Times New Roman"/>
                <w:b w:val="false"/>
                <w:i w:val="false"/>
                <w:color w:val="000000"/>
                <w:sz w:val="20"/>
              </w:rPr>
              <w:t>
</w:t>
            </w:r>
            <w:r>
              <w:rPr>
                <w:rFonts w:ascii="Times New Roman"/>
                <w:b w:val="false"/>
                <w:i/>
                <w:color w:val="000000"/>
                <w:sz w:val="20"/>
              </w:rPr>
              <w:t>2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орташа күрделі ахуалы/орташа құрылыс салынған, жоспарлаудың күрделі конфигурациясы, жерасты және жерүсті коммуникацияларының, рельс жолдарының дамыған желісі, ағаштары мен көгалдары бар елді мекендер, көлік және жаяу жүргіншілер қозғалысы қарқынды;</w:t>
            </w:r>
          </w:p>
          <w:p>
            <w:pPr>
              <w:spacing w:after="20"/>
              <w:ind w:left="20"/>
              <w:jc w:val="both"/>
            </w:pPr>
            <w:r>
              <w:rPr>
                <w:rFonts w:ascii="Times New Roman"/>
                <w:b w:val="false"/>
                <w:i w:val="false"/>
                <w:color w:val="000000"/>
                <w:sz w:val="20"/>
              </w:rPr>
              <w:t>
</w:t>
            </w:r>
            <w:r>
              <w:rPr>
                <w:rFonts w:ascii="Times New Roman"/>
                <w:b w:val="false"/>
                <w:i w:val="false"/>
                <w:color w:val="000000"/>
                <w:sz w:val="20"/>
              </w:rPr>
              <w:t>қарапайым конфигурациялы құрылыс салынған, жерасты және жерүсті коммуникацияларының дамыған желісі, шағын ағаштары немесе жерасты және жерүсті коммуникацияларының сирек желісі және көптеген аула құрылыстары, қоршаулары, ағаштары бар тығыз құрылыс салынған орамішілік аумақтар.</w:t>
            </w:r>
          </w:p>
          <w:p>
            <w:pPr>
              <w:spacing w:after="20"/>
              <w:ind w:left="20"/>
              <w:jc w:val="both"/>
            </w:pPr>
            <w:r>
              <w:rPr>
                <w:rFonts w:ascii="Times New Roman"/>
                <w:b w:val="false"/>
                <w:i w:val="false"/>
                <w:color w:val="000000"/>
                <w:sz w:val="20"/>
              </w:rPr>
              <w:t>
</w:t>
            </w:r>
            <w:r>
              <w:rPr>
                <w:rFonts w:ascii="Times New Roman"/>
                <w:b w:val="false"/>
                <w:i/>
                <w:color w:val="000000"/>
                <w:sz w:val="20"/>
              </w:rPr>
              <w:t>3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ахуалы күрделі, жерасты, жербеті және жерүсті коммуникацияларының тығыз желісі, рельс жолдары, көгалдары мен ағаштары көп елді мекендер, көлік және жаяу жүргіншілер қозғалысы өте қарқынды немесе таулы жерлерде (курорттық қалалар, таулардағы қалалар) тығыз құрылысы, өте күрделі орналасуы немесе шашыраңқы құрылысы бар шағын қалалар;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күрделі конфигурациялы тығыз құрылысы, көптеген ғимараттар, қоршаулар, ағаштар, жерасты және жер үсті коммуникацияларының тығыз желісі бар орамішілік аумақтар.</w:t>
            </w:r>
          </w:p>
          <w:p>
            <w:pPr>
              <w:spacing w:after="20"/>
              <w:ind w:left="20"/>
              <w:jc w:val="both"/>
            </w:pPr>
            <w:r>
              <w:rPr>
                <w:rFonts w:ascii="Times New Roman"/>
                <w:b w:val="false"/>
                <w:i w:val="false"/>
                <w:color w:val="000000"/>
                <w:sz w:val="20"/>
              </w:rPr>
              <w:t>
</w:t>
            </w:r>
            <w:r>
              <w:rPr>
                <w:rFonts w:ascii="Times New Roman"/>
                <w:b w:val="false"/>
                <w:i/>
                <w:color w:val="000000"/>
                <w:sz w:val="20"/>
              </w:rPr>
              <w:t>Құрылыс салынбаған аумақтар:</w:t>
            </w:r>
          </w:p>
          <w:p>
            <w:pPr>
              <w:spacing w:after="20"/>
              <w:ind w:left="20"/>
              <w:jc w:val="both"/>
            </w:pPr>
            <w:r>
              <w:rPr>
                <w:rFonts w:ascii="Times New Roman"/>
                <w:b w:val="false"/>
                <w:i w:val="false"/>
                <w:color w:val="000000"/>
                <w:sz w:val="20"/>
              </w:rPr>
              <w:t>
</w:t>
            </w:r>
            <w:r>
              <w:rPr>
                <w:rFonts w:ascii="Times New Roman"/>
                <w:b w:val="false"/>
                <w:i/>
                <w:color w:val="000000"/>
                <w:sz w:val="20"/>
              </w:rPr>
              <w:t>1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төбелер және шоқылармен оқшауланған жыралар және сайлармен аздап қиылысқан, өсінділерсіз сирек абаттандырылған орманмен немесе сирек бұталы тоғаймен көмкерілген қолайлы бедерлі жазық жер; контурлардың саны шамалы;</w:t>
            </w:r>
          </w:p>
          <w:p>
            <w:pPr>
              <w:spacing w:after="20"/>
              <w:ind w:left="20"/>
              <w:jc w:val="both"/>
            </w:pPr>
            <w:r>
              <w:rPr>
                <w:rFonts w:ascii="Times New Roman"/>
                <w:b w:val="false"/>
                <w:i w:val="false"/>
                <w:color w:val="000000"/>
                <w:sz w:val="20"/>
              </w:rPr>
              <w:t>
</w:t>
            </w:r>
            <w:r>
              <w:rPr>
                <w:rFonts w:ascii="Times New Roman"/>
                <w:b w:val="false"/>
                <w:i w:val="false"/>
                <w:color w:val="000000"/>
                <w:sz w:val="20"/>
              </w:rPr>
              <w:t>айқын көрсетілген контурларының шағын санымен ірі бедерлі нысандарымен ашық адырлы жер;</w:t>
            </w:r>
          </w:p>
          <w:p>
            <w:pPr>
              <w:spacing w:after="20"/>
              <w:ind w:left="20"/>
              <w:jc w:val="both"/>
            </w:pPr>
            <w:r>
              <w:rPr>
                <w:rFonts w:ascii="Times New Roman"/>
                <w:b w:val="false"/>
                <w:i w:val="false"/>
                <w:color w:val="000000"/>
                <w:sz w:val="20"/>
              </w:rPr>
              <w:t>
</w:t>
            </w:r>
            <w:r>
              <w:rPr>
                <w:rFonts w:ascii="Times New Roman"/>
                <w:b w:val="false"/>
                <w:i w:val="false"/>
                <w:color w:val="000000"/>
                <w:sz w:val="20"/>
              </w:rPr>
              <w:t>ағысы, арнасы мен тармағы аз ашық өзен жайылмасы, батпағы өтуге оңай; сирек арықтар желісі бар суармалы маусымдық дақылдардың ашық учаскелері.</w:t>
            </w:r>
          </w:p>
          <w:p>
            <w:pPr>
              <w:spacing w:after="20"/>
              <w:ind w:left="20"/>
              <w:jc w:val="both"/>
            </w:pPr>
            <w:r>
              <w:rPr>
                <w:rFonts w:ascii="Times New Roman"/>
                <w:b w:val="false"/>
                <w:i w:val="false"/>
                <w:color w:val="000000"/>
                <w:sz w:val="20"/>
              </w:rPr>
              <w:t>
</w:t>
            </w:r>
            <w:r>
              <w:rPr>
                <w:rFonts w:ascii="Times New Roman"/>
                <w:b w:val="false"/>
                <w:i/>
                <w:color w:val="000000"/>
                <w:sz w:val="20"/>
              </w:rPr>
              <w:t>2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жыралар және сайлармен қиылысқан, кей жерде өсінділері бар орманды алқаптармен немесе тығыз бұталармен көмкерілген жазық жер, контурлар саны орташа;</w:t>
            </w:r>
          </w:p>
          <w:p>
            <w:pPr>
              <w:spacing w:after="20"/>
              <w:ind w:left="20"/>
              <w:jc w:val="both"/>
            </w:pPr>
            <w:r>
              <w:rPr>
                <w:rFonts w:ascii="Times New Roman"/>
                <w:b w:val="false"/>
                <w:i w:val="false"/>
                <w:color w:val="000000"/>
                <w:sz w:val="20"/>
              </w:rPr>
              <w:t>
</w:t>
            </w:r>
            <w:r>
              <w:rPr>
                <w:rFonts w:ascii="Times New Roman"/>
                <w:b w:val="false"/>
                <w:i w:val="false"/>
                <w:color w:val="000000"/>
                <w:sz w:val="20"/>
              </w:rPr>
              <w:t>бедерінің ірі нысандары бар, өсіндісі немесе бұтасы жоқ сирек орманмен көмкерілген адырлы жер, контурлар саны орташа; орташа күрделі бедерлі және контурлары аз ашық таулы жер;</w:t>
            </w:r>
          </w:p>
          <w:p>
            <w:pPr>
              <w:spacing w:after="20"/>
              <w:ind w:left="20"/>
              <w:jc w:val="both"/>
            </w:pPr>
            <w:r>
              <w:rPr>
                <w:rFonts w:ascii="Times New Roman"/>
                <w:b w:val="false"/>
                <w:i w:val="false"/>
                <w:color w:val="000000"/>
                <w:sz w:val="20"/>
              </w:rPr>
              <w:t>
</w:t>
            </w:r>
            <w:r>
              <w:rPr>
                <w:rFonts w:ascii="Times New Roman"/>
                <w:b w:val="false"/>
                <w:i w:val="false"/>
                <w:color w:val="000000"/>
                <w:sz w:val="20"/>
              </w:rPr>
              <w:t>өзеннің жайылмасы жартылай жабық, жартылай батпақты, ағысы, арнасы мен тармағы аз; батпағы өтуге орташа;</w:t>
            </w:r>
          </w:p>
          <w:p>
            <w:pPr>
              <w:spacing w:after="20"/>
              <w:ind w:left="20"/>
              <w:jc w:val="both"/>
            </w:pPr>
            <w:r>
              <w:rPr>
                <w:rFonts w:ascii="Times New Roman"/>
                <w:b w:val="false"/>
                <w:i w:val="false"/>
                <w:color w:val="000000"/>
                <w:sz w:val="20"/>
              </w:rPr>
              <w:t>
</w:t>
            </w:r>
            <w:r>
              <w:rPr>
                <w:rFonts w:ascii="Times New Roman"/>
                <w:b w:val="false"/>
                <w:i w:val="false"/>
                <w:color w:val="000000"/>
                <w:sz w:val="20"/>
              </w:rPr>
              <w:t>арықтардың желісі бар суармалы маусымдық дақылдардың жартылай жабық учаскелері және бақтар мен жүзімдіктер алып жатқан жазық аумақтар.</w:t>
            </w:r>
          </w:p>
          <w:p>
            <w:pPr>
              <w:spacing w:after="20"/>
              <w:ind w:left="20"/>
              <w:jc w:val="both"/>
            </w:pPr>
            <w:r>
              <w:rPr>
                <w:rFonts w:ascii="Times New Roman"/>
                <w:b w:val="false"/>
                <w:i w:val="false"/>
                <w:color w:val="000000"/>
                <w:sz w:val="20"/>
              </w:rPr>
              <w:t>
</w:t>
            </w:r>
            <w:r>
              <w:rPr>
                <w:rFonts w:ascii="Times New Roman"/>
                <w:b w:val="false"/>
                <w:i/>
                <w:color w:val="000000"/>
                <w:sz w:val="20"/>
              </w:rPr>
              <w:t>3 санат</w:t>
            </w:r>
          </w:p>
          <w:p>
            <w:pPr>
              <w:spacing w:after="20"/>
              <w:ind w:left="20"/>
              <w:jc w:val="both"/>
            </w:pPr>
            <w:r>
              <w:rPr>
                <w:rFonts w:ascii="Times New Roman"/>
                <w:b w:val="false"/>
                <w:i w:val="false"/>
                <w:color w:val="000000"/>
                <w:sz w:val="20"/>
              </w:rPr>
              <w:t>
</w:t>
            </w:r>
            <w:r>
              <w:rPr>
                <w:rFonts w:ascii="Times New Roman"/>
                <w:b w:val="false"/>
                <w:i w:val="false"/>
                <w:color w:val="000000"/>
                <w:sz w:val="20"/>
              </w:rPr>
              <w:t>жыралар және сайлармен едәуір қиылысқан, бұталары бар тығыз орман басқан, жазық немесе адырлы жер;</w:t>
            </w:r>
          </w:p>
          <w:p>
            <w:pPr>
              <w:spacing w:after="20"/>
              <w:ind w:left="20"/>
              <w:jc w:val="both"/>
            </w:pPr>
            <w:r>
              <w:rPr>
                <w:rFonts w:ascii="Times New Roman"/>
                <w:b w:val="false"/>
                <w:i w:val="false"/>
                <w:color w:val="000000"/>
                <w:sz w:val="20"/>
              </w:rPr>
              <w:t>
</w:t>
            </w:r>
            <w:r>
              <w:rPr>
                <w:rFonts w:ascii="Times New Roman"/>
                <w:b w:val="false"/>
                <w:i w:val="false"/>
                <w:color w:val="000000"/>
                <w:sz w:val="20"/>
              </w:rPr>
              <w:t>толығымен сулы-батпақты, үйінділер және құлаған ағаштары бар орманмен көмкерілген, шөп басқан, батпақты жер; күрделі бедерлі шөлді аудандар;</w:t>
            </w:r>
          </w:p>
          <w:p>
            <w:pPr>
              <w:spacing w:after="20"/>
              <w:ind w:left="20"/>
              <w:jc w:val="both"/>
            </w:pPr>
            <w:r>
              <w:rPr>
                <w:rFonts w:ascii="Times New Roman"/>
                <w:b w:val="false"/>
                <w:i w:val="false"/>
                <w:color w:val="000000"/>
                <w:sz w:val="20"/>
              </w:rPr>
              <w:t>
</w:t>
            </w:r>
            <w:r>
              <w:rPr>
                <w:rFonts w:ascii="Times New Roman"/>
                <w:b w:val="false"/>
                <w:i w:val="false"/>
                <w:color w:val="000000"/>
                <w:sz w:val="20"/>
              </w:rPr>
              <w:t>күрделі бедерлі нысандары бар орманды таулы аймақ; тау беткейлеріндегі бақтар мен жүзімдіктердің аумақтары;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күрделі майда бедерлі өзен жайылмасы, толығымен шөп басқан, көптеген ағысы, арнасы мен тармағы бар, батпақты; батпағы өтуге қиын; арықтардың тығыз желісі бар суармалы маусымдық дақылдардың (бақтардың) жабық учаскелері.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Инфрақұрылымдық деректерді жаңарту осы кестенің бағасына сәйкес жүргізіледі;</w:t>
            </w:r>
          </w:p>
          <w:p>
            <w:pPr>
              <w:spacing w:after="20"/>
              <w:ind w:left="20"/>
              <w:jc w:val="both"/>
            </w:pPr>
            <w:r>
              <w:rPr>
                <w:rFonts w:ascii="Times New Roman"/>
                <w:b w:val="false"/>
                <w:i w:val="false"/>
                <w:color w:val="000000"/>
                <w:sz w:val="20"/>
              </w:rPr>
              <w:t xml:space="preserve">
3) Мемлекеттік қала құрылысы кадастрының деректер базасына графикалық және атрибутивтік ақпаратты (цифрлауды) енгізу нәтижесінде Мемлекеттік қала құрылысы кадастрын жүргізу жөніндегі бекітілген нормативтік құжатқа сәйкес құрылыстардың, абаттандырудың және барлық инженерлік, көлік коммуникацияларының орналасқан жері туралы ақпараттық қабаттарды қамтитын 1:500 масштабтағы елді мекендердің цифрлық электрондық картасы құрылады </w:t>
            </w:r>
            <w:r>
              <w:rPr>
                <w:rFonts w:ascii="Times New Roman"/>
                <w:b w:val="false"/>
                <w:i/>
                <w:color w:val="000000"/>
                <w:sz w:val="20"/>
              </w:rPr>
              <w:t>(ҚР ИИДМ ҚТҮКШІК төрағасының 2022 жылғы 2 қарашадағы № 201-НҚ бұйрығы)</w:t>
            </w:r>
            <w:r>
              <w:rPr>
                <w:rFonts w:ascii="Times New Roman"/>
                <w:b w:val="false"/>
                <w:i w:val="false"/>
                <w:color w:val="000000"/>
                <w:sz w:val="20"/>
              </w:rPr>
              <w:t>.</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