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49d0" w14:textId="b284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ақпандағы № 166 бұйрығы. Қазақстан Республикасының Әділет министрлігінде 2016 жылы 1 сәуірде № 13563 болып тіркелді. Күші жойылды - Қазақстан Республикасы Денсаулық сақтау министрінің 2020 жылғы 15 желтоқсандағы № ҚР ДСМ-273/2020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11484 болып тіркелген, "Әділет" ақпараттық-құқықтық жүйесінде 2015 жылы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медициналық техникаға сервистік қызмет көрсетуді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"14) сервистік қызмет көрсету – штатында медициналық техниканың тиісті түрлерін (атауларын) өндіруші кәсіпорындарында немесе медициналық техниканың тиісті түрлеріне техникалық қызмет көрсету бойынша дайындық жүргізуге құқығы бар ұйымдарда оқудан өткен медициналық техниканы жөндеу және қызмет көрсету жөніндегі маманы (мамандары) бар ұйым немесе ұйымның оқшауландырылған бөлімшесі не медициналық техниканы өндірушіден техникалық қолдау көрсетуді жүргізу құқығы құжатпен расталған ұйым немесе ұйымның оқшауландырылған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7" w:id="5"/>
    <w:p>
      <w:pPr>
        <w:spacing w:after="0"/>
        <w:ind w:left="0"/>
        <w:jc w:val="both"/>
      </w:pPr>
      <w:r>
        <w:rPr>
          <w:rFonts w:ascii="Times New Roman"/>
          <w:b w:val="false"/>
          <w:i w:val="false"/>
          <w:color w:val="000000"/>
          <w:sz w:val="28"/>
        </w:rPr>
        <w:t>
      "сервистік қызметтер жүзеге асырады.".</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 басылымдарында және "Әділет" ақпараттық-құқықтық жүйесінде жариялауға жіберуді;</w:t>
      </w:r>
    </w:p>
    <w:bookmarkEnd w:id="8"/>
    <w:bookmarkStart w:name="z11" w:id="9"/>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оның мемлекеттік және орыс тілдердегі баспа және электрондық түрдегі көшірмесінің бір данасын жіберуді;</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