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cddf" w14:textId="500c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жария ету туралы декларацияның нысанын және оны толтыру қағидаларын бекіту туралы" Қазақстан Республикасы Қаржы министрінің 2015 жылғы 27 қарашадағы № 593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21 маусымдағы № 325 бұйрығы. Қазақстан Республикасының Әділет министрлігінде 2016 жылы 8 шілдеде № 13895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"Мүлікті жария ету туралы декларацияның нысанын және оны толтыру қағидаларын бекіту туралы" Қазақстан Республикасы Қаржы министрінің 2015 жылғы 27 қарашадағы № 593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12391 болып тіркелген, "Әділет" ақпараттық-құқықтық жүйесінде 2015 жылғы 22 желтоқсанда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Мүлікті жария ету туралы декларацияны толтыру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p>
    <w:bookmarkStart w:name="z5" w:id="3"/>
    <w:p>
      <w:pPr>
        <w:spacing w:after="0"/>
        <w:ind w:left="0"/>
        <w:jc w:val="both"/>
      </w:pPr>
      <w:r>
        <w:rPr>
          <w:rFonts w:ascii="Times New Roman"/>
          <w:b w:val="false"/>
          <w:i w:val="false"/>
          <w:color w:val="000000"/>
          <w:sz w:val="28"/>
        </w:rPr>
        <w:t>
      "Бұл ретте, жария ету субъектісіне екінші деңгейдегі банк арқылы банк белгілеген шартпен декларацияны хабарламасы бар тапсырыс хатпен пошта бойынша қағаз тасымалдағышта тапсыруға рұқсат 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"19. "Жария етілетін ақшаның сомасы" деген ашық жолда екінші деңгейдегі банкте немесе Ұлттық пошта операторында жария ету мақсаты үшін ашылған банк шотына оларды есептеген (аударған) күнге тиісті шетел валютасын айырбастаудың нарықтық бағамы бойынша ұлттық валютада жария етілетін ақшаның сомасы көрсетіледі.".</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7"/>
    <w:bookmarkStart w:name="z11" w:id="8"/>
    <w:p>
      <w:pPr>
        <w:spacing w:after="0"/>
        <w:ind w:left="0"/>
        <w:jc w:val="both"/>
      </w:pPr>
      <w:r>
        <w:rPr>
          <w:rFonts w:ascii="Times New Roman"/>
          <w:b w:val="false"/>
          <w:i w:val="false"/>
          <w:color w:val="000000"/>
          <w:sz w:val="28"/>
        </w:rPr>
        <w:t>
      3) Қазақстан Республикасының Әділет министрлігінен алған күннен бастап бес жұмыс күні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2" w:id="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
    <w:bookmarkStart w:name="z13"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