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5a16" w14:textId="b645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"Көркемөнерпаздар ұжымдарына "Халықтық" (үлгілі) атағын беру қағидаларын бекіту туралы" Қазақстан Республикасы Мәдениет және ақпарат министрiнiң 2007 жылғы 28 наурыздағы № 93 бұйрығына өзгерiс енгiзу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13 маусымдағы № 158 бұйрығы. Қазақстан Республикасының Әділет министрлігінде 2016 жылы 13 шілдеде № 13918 болып тіркелді</w:t>
      </w:r>
    </w:p>
    <w:p>
      <w:pPr>
        <w:spacing w:after="0"/>
        <w:ind w:left="0"/>
        <w:jc w:val="both"/>
      </w:pPr>
      <w:bookmarkStart w:name="z1" w:id="0"/>
      <w:r>
        <w:rPr>
          <w:rFonts w:ascii="Times New Roman"/>
          <w:b w:val="false"/>
          <w:i w:val="false"/>
          <w:color w:val="000000"/>
          <w:sz w:val="28"/>
        </w:rPr>
        <w:t>
      «Мәдениет туралы» 2016 жылғы 15 желтоқсандағы Қазақстан Республикасы Заңының 7-бабы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министрiнiң 2007 жылғы 28 наурыздағы № 93 «Көркемөнерпаздар ұжымдарына «Халықтық» (үлгілі) атағын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4632 болып тiркелген, 2007 жылғы наурызда-сәуірде Қазақстан Республикасының Орталық атқарушы және өзге де орталық мемлекеттік органдарының актілер жинағында жарияланған) мынадай өзгерiстер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«Халықтық» (үлгілі) атағына үміткер көркемөнерпаздар ұжымдарының шығармашылық деңгейін анықтау үшін, облыстық, Астана, Алматы қалаларының мәдениет басқармалары құрамына мәдениет саласындағы уәкілетті органның (бұдан әрі - уәкілетті орган) өкілі және жанр бойынша мамандар кіретін көркемөнерпаздар ұжымдарына «Халықтық» (үлгілі) атағын беру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бұйрықтың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он күннің ішінде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