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d253" w14:textId="e6bd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операторына қатысты Қазақстан Республикасының лотерея және лотерея қызметі туралы заңнаманы сақтаудағы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бұйрығы. Қазақстан Республикасының Әділет министрлігінде 2016 жылы 25 тамызда № 14142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Мәдениет және спорт министрінің м.а. 22.12.2022 </w:t>
      </w:r>
      <w:r>
        <w:rPr>
          <w:rFonts w:ascii="Times New Roman"/>
          <w:b w:val="false"/>
          <w:i w:val="false"/>
          <w:color w:val="ff0000"/>
          <w:sz w:val="28"/>
        </w:rPr>
        <w:t>№ 380</w:t>
      </w:r>
      <w:r>
        <w:rPr>
          <w:rFonts w:ascii="Times New Roman"/>
          <w:b w:val="false"/>
          <w:i w:val="false"/>
          <w:color w:val="ff0000"/>
          <w:sz w:val="28"/>
        </w:rPr>
        <w:t xml:space="preserve"> және ҚР Ұлттық экономика министрінің 22.12.2022 № 136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22.12.2022 </w:t>
      </w:r>
      <w:r>
        <w:rPr>
          <w:rFonts w:ascii="Times New Roman"/>
          <w:b w:val="false"/>
          <w:i w:val="false"/>
          <w:color w:val="000000"/>
          <w:sz w:val="28"/>
        </w:rPr>
        <w:t>№ 380</w:t>
      </w:r>
      <w:r>
        <w:rPr>
          <w:rFonts w:ascii="Times New Roman"/>
          <w:b w:val="false"/>
          <w:i w:val="false"/>
          <w:color w:val="ff0000"/>
          <w:sz w:val="28"/>
        </w:rPr>
        <w:t xml:space="preserve"> және ҚР Ұлттық экономика министрінің 22.12.2022 № 136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лотерея операторына қатысты Қазақстан Республикасының лотереялар және лотерея қызметі туралы заңнамасының сақталуына тәуекел дәрежесін бағалаудың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лотерея операторына қатысты Қазақстан Республикасының лотерея және лотерея қызметі туралы заңнамасын сақтаудың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380</w:t>
      </w:r>
      <w:r>
        <w:rPr>
          <w:rFonts w:ascii="Times New Roman"/>
          <w:b w:val="false"/>
          <w:i w:val="false"/>
          <w:color w:val="ff0000"/>
          <w:sz w:val="28"/>
        </w:rPr>
        <w:t xml:space="preserve"> және ҚР Ұлттық экономика министрінің 22.12.2022 № 136 (01.01.2023 бастап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"Әділет" ақпараттық-құқықтық жүйесінде ресми жариялау үшін оның көшірмелерін түпнұсқамен толық сәйкестікте графикалық форматта жолдауды;</w:t>
      </w:r>
    </w:p>
    <w:bookmarkEnd w:id="4"/>
    <w:bookmarkStart w:name="z8"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осы бұйрықтың көшірмелерін ресми жариялау үшін осы бұйрыққа қол қоюға уәкілетті тұлғаның электрондық цифрлық қолтаңбасымен куәландырылып,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енгізу үшін электрондық және қағаз түрінде осы бұйрықтың көшірмелерін жолдауды;</w:t>
      </w:r>
    </w:p>
    <w:bookmarkEnd w:id="5"/>
    <w:bookmarkStart w:name="z9" w:id="6"/>
    <w:p>
      <w:pPr>
        <w:spacing w:after="0"/>
        <w:ind w:left="0"/>
        <w:jc w:val="both"/>
      </w:pPr>
      <w:r>
        <w:rPr>
          <w:rFonts w:ascii="Times New Roman"/>
          <w:b w:val="false"/>
          <w:i w:val="false"/>
          <w:color w:val="000000"/>
          <w:sz w:val="28"/>
        </w:rPr>
        <w:t>
      4) осы бұйрықты ресми жариялағаннан кейін Қазақстан Республикасы Мәдениет және спорт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5) осы тармақтпен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8"/>
    <w:bookmarkStart w:name="z12"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А.Мұхамедиұлы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 С. Айтпаева   </w:t>
      </w:r>
    </w:p>
    <w:p>
      <w:pPr>
        <w:spacing w:after="0"/>
        <w:ind w:left="0"/>
        <w:jc w:val="both"/>
      </w:pPr>
      <w:r>
        <w:rPr>
          <w:rFonts w:ascii="Times New Roman"/>
          <w:b w:val="false"/>
          <w:i w:val="false"/>
          <w:color w:val="000000"/>
          <w:sz w:val="28"/>
        </w:rPr>
        <w:t>
      2016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195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18 шілдедегі</w:t>
            </w:r>
            <w:r>
              <w:br/>
            </w:r>
            <w:r>
              <w:rPr>
                <w:rFonts w:ascii="Times New Roman"/>
                <w:b w:val="false"/>
                <w:i w:val="false"/>
                <w:color w:val="000000"/>
                <w:sz w:val="20"/>
              </w:rPr>
              <w:t>№ 323 бірлескен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Қазақстан Республикасының лотереялар және лотерея қызметі туралы заңнамасын сақтаудың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алып тасталды – ҚР Мәдениет және спорт министрінің 29.11.2018 </w:t>
      </w:r>
      <w:r>
        <w:rPr>
          <w:rFonts w:ascii="Times New Roman"/>
          <w:b w:val="false"/>
          <w:i w:val="false"/>
          <w:color w:val="ff0000"/>
          <w:sz w:val="28"/>
        </w:rPr>
        <w:t>№ 340</w:t>
      </w:r>
      <w:r>
        <w:rPr>
          <w:rFonts w:ascii="Times New Roman"/>
          <w:b w:val="false"/>
          <w:i w:val="false"/>
          <w:color w:val="ff0000"/>
          <w:sz w:val="28"/>
        </w:rPr>
        <w:t xml:space="preserve"> және ҚР Ұлттық экономика министрінің 30.11.2018 № 91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195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2016 жылғы 18 шілдедегі </w:t>
            </w:r>
            <w:r>
              <w:br/>
            </w:r>
            <w:r>
              <w:rPr>
                <w:rFonts w:ascii="Times New Roman"/>
                <w:b w:val="false"/>
                <w:i w:val="false"/>
                <w:color w:val="000000"/>
                <w:sz w:val="20"/>
              </w:rPr>
              <w:t xml:space="preserve">№ 323 бірлескен бұйрығына </w:t>
            </w:r>
            <w:r>
              <w:br/>
            </w:r>
            <w:r>
              <w:rPr>
                <w:rFonts w:ascii="Times New Roman"/>
                <w:b w:val="false"/>
                <w:i w:val="false"/>
                <w:color w:val="000000"/>
                <w:sz w:val="20"/>
              </w:rPr>
              <w:t>1-1-қосымша</w:t>
            </w:r>
          </w:p>
        </w:tc>
      </w:tr>
    </w:tbl>
    <w:bookmarkStart w:name="z50" w:id="11"/>
    <w:p>
      <w:pPr>
        <w:spacing w:after="0"/>
        <w:ind w:left="0"/>
        <w:jc w:val="left"/>
      </w:pPr>
      <w:r>
        <w:rPr>
          <w:rFonts w:ascii="Times New Roman"/>
          <w:b/>
          <w:i w:val="false"/>
          <w:color w:val="000000"/>
        </w:rPr>
        <w:t xml:space="preserve"> Лотерея және лотерея қызметінің операторына арналған Қазақстан Республикасының лотерея және лотерея қызметі туралы заңнаманы сақтаудағы тәуекел дәрежесін бағалаудың өлшемшарттары</w:t>
      </w:r>
    </w:p>
    <w:bookmarkEnd w:id="11"/>
    <w:p>
      <w:pPr>
        <w:spacing w:after="0"/>
        <w:ind w:left="0"/>
        <w:jc w:val="both"/>
      </w:pPr>
      <w:r>
        <w:rPr>
          <w:rFonts w:ascii="Times New Roman"/>
          <w:b w:val="false"/>
          <w:i w:val="false"/>
          <w:color w:val="ff0000"/>
          <w:sz w:val="28"/>
        </w:rPr>
        <w:t xml:space="preserve">
      Ескерту. 1-1-қосымшамен толықтырылды – ҚР Мәдениет және спорт министрінің м.а. 22.12.2022 </w:t>
      </w:r>
      <w:r>
        <w:rPr>
          <w:rFonts w:ascii="Times New Roman"/>
          <w:b w:val="false"/>
          <w:i w:val="false"/>
          <w:color w:val="ff0000"/>
          <w:sz w:val="28"/>
        </w:rPr>
        <w:t>№ 380</w:t>
      </w:r>
      <w:r>
        <w:rPr>
          <w:rFonts w:ascii="Times New Roman"/>
          <w:b w:val="false"/>
          <w:i w:val="false"/>
          <w:color w:val="ff0000"/>
          <w:sz w:val="28"/>
        </w:rPr>
        <w:t xml:space="preserve"> және ҚР Ұлттық экономика министрінің 22.12.2022 № 136 (01.01.2023 бастап қолданысқа енгізіледі) бірлескен бұйрығымен.</w:t>
      </w:r>
    </w:p>
    <w:bookmarkStart w:name="z51" w:id="12"/>
    <w:p>
      <w:pPr>
        <w:spacing w:after="0"/>
        <w:ind w:left="0"/>
        <w:jc w:val="left"/>
      </w:pPr>
      <w:r>
        <w:rPr>
          <w:rFonts w:ascii="Times New Roman"/>
          <w:b/>
          <w:i w:val="false"/>
          <w:color w:val="000000"/>
        </w:rPr>
        <w:t xml:space="preserve"> 1-тарау. Жалпы ережелер</w:t>
      </w:r>
    </w:p>
    <w:bookmarkEnd w:id="12"/>
    <w:bookmarkStart w:name="z52" w:id="13"/>
    <w:p>
      <w:pPr>
        <w:spacing w:after="0"/>
        <w:ind w:left="0"/>
        <w:jc w:val="both"/>
      </w:pPr>
      <w:r>
        <w:rPr>
          <w:rFonts w:ascii="Times New Roman"/>
          <w:b w:val="false"/>
          <w:i w:val="false"/>
          <w:color w:val="000000"/>
          <w:sz w:val="28"/>
        </w:rPr>
        <w:t xml:space="preserve">
      1. Осы Қазақстан Республикасының лотереялар және лотерея қызметі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лотерея және лотерея қызметі саласындағы бақылау субъектілерін іріктеу үшін және оларды бақылау субъектісіне бару арқылы профилактикалық бақылау жүргізу кезінде тәуекелдер дәрежесіне жатқызуға арналған.</w:t>
      </w:r>
    </w:p>
    <w:bookmarkEnd w:id="13"/>
    <w:bookmarkStart w:name="z53" w:id="1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өлшемшарттарда</w:t>
      </w:r>
      <w:r>
        <w:rPr>
          <w:rFonts w:ascii="Times New Roman"/>
          <w:b w:val="false"/>
          <w:i w:val="false"/>
          <w:color w:val="000000"/>
          <w:sz w:val="28"/>
        </w:rPr>
        <w:t xml:space="preserve"> мынадай ұғымдар пайдаланылады:</w:t>
      </w:r>
    </w:p>
    <w:bookmarkEnd w:id="14"/>
    <w:bookmarkStart w:name="z109" w:id="15"/>
    <w:p>
      <w:pPr>
        <w:spacing w:after="0"/>
        <w:ind w:left="0"/>
        <w:jc w:val="both"/>
      </w:pPr>
      <w:r>
        <w:rPr>
          <w:rFonts w:ascii="Times New Roman"/>
          <w:b w:val="false"/>
          <w:i w:val="false"/>
          <w:color w:val="000000"/>
          <w:sz w:val="28"/>
        </w:rPr>
        <w:t>
      1) бақылау субъектісі – қызметін бақылау жүзеге асырылатын, лотереяларды өткізу жөніндегі қызметті жүзеге асыратын лотерея және лотерея қызметі саласындағы уәкілетті орган айқындайтын заңды тұлға;</w:t>
      </w:r>
    </w:p>
    <w:bookmarkEnd w:id="15"/>
    <w:bookmarkStart w:name="z110" w:id="16"/>
    <w:p>
      <w:pPr>
        <w:spacing w:after="0"/>
        <w:ind w:left="0"/>
        <w:jc w:val="both"/>
      </w:pPr>
      <w:r>
        <w:rPr>
          <w:rFonts w:ascii="Times New Roman"/>
          <w:b w:val="false"/>
          <w:i w:val="false"/>
          <w:color w:val="000000"/>
          <w:sz w:val="28"/>
        </w:rPr>
        <w:t>
      2) балл – тәуекелді есептеудің сандық өлшемі;</w:t>
      </w:r>
    </w:p>
    <w:bookmarkEnd w:id="16"/>
    <w:bookmarkStart w:name="z111" w:id="17"/>
    <w:p>
      <w:pPr>
        <w:spacing w:after="0"/>
        <w:ind w:left="0"/>
        <w:jc w:val="both"/>
      </w:pPr>
      <w:r>
        <w:rPr>
          <w:rFonts w:ascii="Times New Roman"/>
          <w:b w:val="false"/>
          <w:i w:val="false"/>
          <w:color w:val="000000"/>
          <w:sz w:val="28"/>
        </w:rPr>
        <w:t>
      3) болмашы бұзушылықтар – Қазақстан Республикасының лотереялар және лотерея қызметі туралы заңнамасының талаптарын бұзушылықтар, оларды сақтамау жеке және заңды тұлғалардың, мемлекеттің заңды мүдделеріне қатер төндірмейді;</w:t>
      </w:r>
    </w:p>
    <w:bookmarkEnd w:id="17"/>
    <w:bookmarkStart w:name="z112" w:id="18"/>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8"/>
    <w:bookmarkStart w:name="z113" w:id="19"/>
    <w:p>
      <w:pPr>
        <w:spacing w:after="0"/>
        <w:ind w:left="0"/>
        <w:jc w:val="both"/>
      </w:pPr>
      <w:r>
        <w:rPr>
          <w:rFonts w:ascii="Times New Roman"/>
          <w:b w:val="false"/>
          <w:i w:val="false"/>
          <w:color w:val="000000"/>
          <w:sz w:val="28"/>
        </w:rPr>
        <w:t>
      5) елеулі бұзушылықтар – Қазақстан Республикасының лотереялар және лотерея қызметі туралы заңнамасының талаптарын бұзу, оларды сақтамау жеке және заңды тұлғалардың, мемлекеттің заңды мүдделеріне елеулі қатер төндірмейді;</w:t>
      </w:r>
    </w:p>
    <w:bookmarkEnd w:id="19"/>
    <w:bookmarkStart w:name="z114" w:id="20"/>
    <w:p>
      <w:pPr>
        <w:spacing w:after="0"/>
        <w:ind w:left="0"/>
        <w:jc w:val="both"/>
      </w:pPr>
      <w:r>
        <w:rPr>
          <w:rFonts w:ascii="Times New Roman"/>
          <w:b w:val="false"/>
          <w:i w:val="false"/>
          <w:color w:val="000000"/>
          <w:sz w:val="28"/>
        </w:rPr>
        <w:t>
      6) өрескел бұзушылықтар –жеке және заңды тұлғалардың, мемлекеттің құқықтарының, заңды мүдделерінің елеулі бұзылуына әкеп соғуы мүмкін Қазақстан Республикасының лотереялар және лотерея қызметі туралы заңнамасының талаптарын бұзу;</w:t>
      </w:r>
    </w:p>
    <w:bookmarkEnd w:id="20"/>
    <w:bookmarkStart w:name="z115" w:id="21"/>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1"/>
    <w:bookmarkStart w:name="z116" w:id="22"/>
    <w:p>
      <w:pPr>
        <w:spacing w:after="0"/>
        <w:ind w:left="0"/>
        <w:jc w:val="both"/>
      </w:pPr>
      <w:r>
        <w:rPr>
          <w:rFonts w:ascii="Times New Roman"/>
          <w:b w:val="false"/>
          <w:i w:val="false"/>
          <w:color w:val="000000"/>
          <w:sz w:val="28"/>
        </w:rPr>
        <w:t>
      8)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2"/>
    <w:bookmarkStart w:name="z117" w:id="23"/>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жеке бақылау субъектісіне (объектісіне) тікелей тәуелді болмайтын тәуекел дәрежесіне байланысты, бақылау субъектілерін (объектілерін) іріктеу үшін пайдаланылатын тәуекел дәрежесін бағалау өлшемшарттары;</w:t>
      </w:r>
    </w:p>
    <w:bookmarkEnd w:id="23"/>
    <w:bookmarkStart w:name="z118" w:id="24"/>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4"/>
    <w:bookmarkStart w:name="z119" w:id="25"/>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субъектісін бақылау субъектісіне бару арқылы профилактикалық бақылаудан босату процесі;</w:t>
      </w:r>
    </w:p>
    <w:bookmarkEnd w:id="25"/>
    <w:bookmarkStart w:name="z120" w:id="26"/>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6"/>
    <w:bookmarkStart w:name="z121" w:id="27"/>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(объектілерінің) біртекті тобына жататын, бағаланатын субъектілердің (объектілердің) тізбесі.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08.10.2024 </w:t>
      </w:r>
      <w:r>
        <w:rPr>
          <w:rFonts w:ascii="Times New Roman"/>
          <w:b w:val="false"/>
          <w:i w:val="false"/>
          <w:color w:val="000000"/>
          <w:sz w:val="28"/>
        </w:rPr>
        <w:t>№ 173</w:t>
      </w:r>
      <w:r>
        <w:rPr>
          <w:rFonts w:ascii="Times New Roman"/>
          <w:b w:val="false"/>
          <w:i w:val="false"/>
          <w:color w:val="ff0000"/>
          <w:sz w:val="28"/>
        </w:rPr>
        <w:t xml:space="preserve"> және ҚР Премьер-Министрінің орынбасары - Ұлттық экономика министрінің 10.10.2024 № 87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64" w:id="2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бірақ жылына бір реттен жиілетпей айқындалады.</w:t>
      </w:r>
    </w:p>
    <w:bookmarkEnd w:id="28"/>
    <w:bookmarkStart w:name="z65" w:id="29"/>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29"/>
    <w:bookmarkStart w:name="z66" w:id="30"/>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30"/>
    <w:bookmarkStart w:name="z67" w:id="31"/>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31"/>
    <w:bookmarkStart w:name="z68" w:id="32"/>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32"/>
    <w:bookmarkStart w:name="z69" w:id="33"/>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3"/>
    <w:p>
      <w:pPr>
        <w:spacing w:after="0"/>
        <w:ind w:left="0"/>
        <w:jc w:val="both"/>
      </w:pPr>
      <w:r>
        <w:rPr>
          <w:rFonts w:ascii="Times New Roman"/>
          <w:b w:val="false"/>
          <w:i w:val="false"/>
          <w:color w:val="000000"/>
          <w:sz w:val="28"/>
        </w:rPr>
        <w:t>
      Бірінші кезеңде бақылау субъектілер (объектілер) объективті өлшемшарттар бойынша мынадай тәуекел дәрежелерінің біріне жатады:</w:t>
      </w:r>
    </w:p>
    <w:bookmarkStart w:name="z93" w:id="34"/>
    <w:p>
      <w:pPr>
        <w:spacing w:after="0"/>
        <w:ind w:left="0"/>
        <w:jc w:val="both"/>
      </w:pPr>
      <w:r>
        <w:rPr>
          <w:rFonts w:ascii="Times New Roman"/>
          <w:b w:val="false"/>
          <w:i w:val="false"/>
          <w:color w:val="000000"/>
          <w:sz w:val="28"/>
        </w:rPr>
        <w:t>
      1) жоғары тәуекел;</w:t>
      </w:r>
    </w:p>
    <w:bookmarkEnd w:id="34"/>
    <w:bookmarkStart w:name="z94" w:id="35"/>
    <w:p>
      <w:pPr>
        <w:spacing w:after="0"/>
        <w:ind w:left="0"/>
        <w:jc w:val="both"/>
      </w:pPr>
      <w:r>
        <w:rPr>
          <w:rFonts w:ascii="Times New Roman"/>
          <w:b w:val="false"/>
          <w:i w:val="false"/>
          <w:color w:val="000000"/>
          <w:sz w:val="28"/>
        </w:rPr>
        <w:t>
      2) орташа тәуекел;</w:t>
      </w:r>
    </w:p>
    <w:bookmarkEnd w:id="35"/>
    <w:bookmarkStart w:name="z95" w:id="36"/>
    <w:p>
      <w:pPr>
        <w:spacing w:after="0"/>
        <w:ind w:left="0"/>
        <w:jc w:val="both"/>
      </w:pPr>
      <w:r>
        <w:rPr>
          <w:rFonts w:ascii="Times New Roman"/>
          <w:b w:val="false"/>
          <w:i w:val="false"/>
          <w:color w:val="000000"/>
          <w:sz w:val="28"/>
        </w:rPr>
        <w:t>
      3) төмен тәуекел.</w:t>
      </w:r>
    </w:p>
    <w:bookmarkEnd w:id="36"/>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 (объекті) үшін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 (объекті) үшін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бақылау субъектісі (объектісі) мынадай тәуекел дәрежелерінің біріне жатады:</w:t>
      </w:r>
    </w:p>
    <w:bookmarkStart w:name="z96" w:id="37"/>
    <w:p>
      <w:pPr>
        <w:spacing w:after="0"/>
        <w:ind w:left="0"/>
        <w:jc w:val="both"/>
      </w:pPr>
      <w:r>
        <w:rPr>
          <w:rFonts w:ascii="Times New Roman"/>
          <w:b w:val="false"/>
          <w:i w:val="false"/>
          <w:color w:val="000000"/>
          <w:sz w:val="28"/>
        </w:rPr>
        <w:t>
      1) жоғары тәуекел;</w:t>
      </w:r>
    </w:p>
    <w:bookmarkEnd w:id="37"/>
    <w:bookmarkStart w:name="z97" w:id="38"/>
    <w:p>
      <w:pPr>
        <w:spacing w:after="0"/>
        <w:ind w:left="0"/>
        <w:jc w:val="both"/>
      </w:pPr>
      <w:r>
        <w:rPr>
          <w:rFonts w:ascii="Times New Roman"/>
          <w:b w:val="false"/>
          <w:i w:val="false"/>
          <w:color w:val="000000"/>
          <w:sz w:val="28"/>
        </w:rPr>
        <w:t>
      2) орташа тәуекел;</w:t>
      </w:r>
    </w:p>
    <w:bookmarkEnd w:id="38"/>
    <w:bookmarkStart w:name="z98" w:id="39"/>
    <w:p>
      <w:pPr>
        <w:spacing w:after="0"/>
        <w:ind w:left="0"/>
        <w:jc w:val="both"/>
      </w:pPr>
      <w:r>
        <w:rPr>
          <w:rFonts w:ascii="Times New Roman"/>
          <w:b w:val="false"/>
          <w:i w:val="false"/>
          <w:color w:val="000000"/>
          <w:sz w:val="28"/>
        </w:rPr>
        <w:t>
      3) төмен тәуекел.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0" w:id="40"/>
    <w:p>
      <w:pPr>
        <w:spacing w:after="0"/>
        <w:ind w:left="0"/>
        <w:jc w:val="both"/>
      </w:pPr>
      <w:r>
        <w:rPr>
          <w:rFonts w:ascii="Times New Roman"/>
          <w:b w:val="false"/>
          <w:i w:val="false"/>
          <w:color w:val="000000"/>
          <w:sz w:val="28"/>
        </w:rPr>
        <w:t>
      8.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0"/>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99" w:id="41"/>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Start w:name="z100" w:id="42"/>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1" w:id="43"/>
    <w:p>
      <w:pPr>
        <w:spacing w:after="0"/>
        <w:ind w:left="0"/>
        <w:jc w:val="both"/>
      </w:pPr>
      <w:r>
        <w:rPr>
          <w:rFonts w:ascii="Times New Roman"/>
          <w:b w:val="false"/>
          <w:i w:val="false"/>
          <w:color w:val="000000"/>
          <w:sz w:val="28"/>
        </w:rPr>
        <w:t>
      9. Бақылау субъектісіне (объектісіне) профилактикалық бақылау жүргізу үшін тәуекел дәрежесін бағалау критерийлері объективті және субъективті критерийлерді айқындау арқылы қалыптастырылады.</w:t>
      </w:r>
    </w:p>
    <w:bookmarkEnd w:id="43"/>
    <w:bookmarkStart w:name="z72" w:id="44"/>
    <w:p>
      <w:pPr>
        <w:spacing w:after="0"/>
        <w:ind w:left="0"/>
        <w:jc w:val="both"/>
      </w:pPr>
      <w:r>
        <w:rPr>
          <w:rFonts w:ascii="Times New Roman"/>
          <w:b w:val="false"/>
          <w:i w:val="false"/>
          <w:color w:val="000000"/>
          <w:sz w:val="28"/>
        </w:rPr>
        <w:t>
      10.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73" w:id="45"/>
    <w:p>
      <w:pPr>
        <w:spacing w:after="0"/>
        <w:ind w:left="0"/>
        <w:jc w:val="left"/>
      </w:pPr>
      <w:r>
        <w:rPr>
          <w:rFonts w:ascii="Times New Roman"/>
          <w:b/>
          <w:i w:val="false"/>
          <w:color w:val="000000"/>
        </w:rPr>
        <w:t xml:space="preserve"> 1-Параграф. Объективті өлшемшарттар</w:t>
      </w:r>
    </w:p>
    <w:bookmarkEnd w:id="45"/>
    <w:bookmarkStart w:name="z74" w:id="46"/>
    <w:p>
      <w:pPr>
        <w:spacing w:after="0"/>
        <w:ind w:left="0"/>
        <w:jc w:val="both"/>
      </w:pPr>
      <w:r>
        <w:rPr>
          <w:rFonts w:ascii="Times New Roman"/>
          <w:b w:val="false"/>
          <w:i w:val="false"/>
          <w:color w:val="000000"/>
          <w:sz w:val="28"/>
        </w:rPr>
        <w:t>
      11. Лотерея және лотерея қызметі саласында тәуекелдің жоғары дәрежесіне жеке тұлғалар мен заңды тұлғалардың заңды мүдделеріне, мемлекеттің мүліктік мүдделеріне зиян келтіру ықтималдығы тәуекелдері жатады.</w:t>
      </w:r>
    </w:p>
    <w:bookmarkEnd w:id="46"/>
    <w:p>
      <w:pPr>
        <w:spacing w:after="0"/>
        <w:ind w:left="0"/>
        <w:jc w:val="both"/>
      </w:pPr>
      <w:r>
        <w:rPr>
          <w:rFonts w:ascii="Times New Roman"/>
          <w:b w:val="false"/>
          <w:i w:val="false"/>
          <w:color w:val="000000"/>
          <w:sz w:val="28"/>
        </w:rPr>
        <w:t>
      Объективті өлшемшарттар бойынша тәуекелдің жоғары дәрежесіне лотерея және лотерея қызметі саласындағы қызметті жүзеге асыратын бақылау субъектісі (объектісі) жатады.</w:t>
      </w:r>
    </w:p>
    <w:bookmarkStart w:name="z75" w:id="47"/>
    <w:p>
      <w:pPr>
        <w:spacing w:after="0"/>
        <w:ind w:left="0"/>
        <w:jc w:val="left"/>
      </w:pPr>
      <w:r>
        <w:rPr>
          <w:rFonts w:ascii="Times New Roman"/>
          <w:b/>
          <w:i w:val="false"/>
          <w:color w:val="000000"/>
        </w:rPr>
        <w:t xml:space="preserve"> 2-Параграф. Субъективті өлшемшарттар</w:t>
      </w:r>
    </w:p>
    <w:bookmarkEnd w:id="47"/>
    <w:bookmarkStart w:name="z76" w:id="48"/>
    <w:p>
      <w:pPr>
        <w:spacing w:after="0"/>
        <w:ind w:left="0"/>
        <w:jc w:val="both"/>
      </w:pPr>
      <w:r>
        <w:rPr>
          <w:rFonts w:ascii="Times New Roman"/>
          <w:b w:val="false"/>
          <w:i w:val="false"/>
          <w:color w:val="000000"/>
          <w:sz w:val="28"/>
        </w:rPr>
        <w:t>
      12. Субъективті өлшемшарттарды айқындау мынадай кезеңдерді қолдана отырып жүзеге асырылады:</w:t>
      </w:r>
    </w:p>
    <w:bookmarkEnd w:id="48"/>
    <w:bookmarkStart w:name="z77" w:id="49"/>
    <w:p>
      <w:pPr>
        <w:spacing w:after="0"/>
        <w:ind w:left="0"/>
        <w:jc w:val="both"/>
      </w:pPr>
      <w:r>
        <w:rPr>
          <w:rFonts w:ascii="Times New Roman"/>
          <w:b w:val="false"/>
          <w:i w:val="false"/>
          <w:color w:val="000000"/>
          <w:sz w:val="28"/>
        </w:rPr>
        <w:t>
      1) лотерея және лотерея қызметі саласындағы заңнама талаптарының бұзылуы туралы деректер базасын қалыптастыру және ақпарат жинау;</w:t>
      </w:r>
    </w:p>
    <w:bookmarkEnd w:id="49"/>
    <w:bookmarkStart w:name="z78" w:id="50"/>
    <w:p>
      <w:pPr>
        <w:spacing w:after="0"/>
        <w:ind w:left="0"/>
        <w:jc w:val="both"/>
      </w:pPr>
      <w:r>
        <w:rPr>
          <w:rFonts w:ascii="Times New Roman"/>
          <w:b w:val="false"/>
          <w:i w:val="false"/>
          <w:color w:val="000000"/>
          <w:sz w:val="28"/>
        </w:rPr>
        <w:t>
      2) ақпаратты талдау және тәуекелдерді бағалау.</w:t>
      </w:r>
    </w:p>
    <w:bookmarkEnd w:id="50"/>
    <w:bookmarkStart w:name="z79" w:id="51"/>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заңнамасын бұзатын бақылау субъектісін (объектісін) анықтау үшін қажет.</w:t>
      </w:r>
    </w:p>
    <w:bookmarkEnd w:id="51"/>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Субъективті өлшемшарттардың тәуекел дәрежесін бағалау үшін мынадай ақпарат көздері пайдаланылады:</w:t>
      </w:r>
    </w:p>
    <w:bookmarkStart w:name="z101" w:id="52"/>
    <w:p>
      <w:pPr>
        <w:spacing w:after="0"/>
        <w:ind w:left="0"/>
        <w:jc w:val="both"/>
      </w:pPr>
      <w:r>
        <w:rPr>
          <w:rFonts w:ascii="Times New Roman"/>
          <w:b w:val="false"/>
          <w:i w:val="false"/>
          <w:color w:val="000000"/>
          <w:sz w:val="28"/>
        </w:rPr>
        <w:t>
      1) бақылау субъектіге (объектіге) алдыңғы жоспардан тыс тексерулер мен бару арқылы профилактикалық бақылаудың нәтижелері;</w:t>
      </w:r>
    </w:p>
    <w:bookmarkEnd w:id="52"/>
    <w:bookmarkStart w:name="z102" w:id="53"/>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5" w:id="54"/>
    <w:p>
      <w:pPr>
        <w:spacing w:after="0"/>
        <w:ind w:left="0"/>
        <w:jc w:val="both"/>
      </w:pPr>
      <w:r>
        <w:rPr>
          <w:rFonts w:ascii="Times New Roman"/>
          <w:b w:val="false"/>
          <w:i w:val="false"/>
          <w:color w:val="000000"/>
          <w:sz w:val="28"/>
        </w:rPr>
        <w:t xml:space="preserve">
      14. Бақылау субъектілерінің тәуекел дәрежесін бағалау және оларды тәуекел дәрежесінің өрескел, елеулі және елеусіз тобына жатқызу осы Өлшемшарттардың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p>
    <w:bookmarkEnd w:id="54"/>
    <w:bookmarkStart w:name="z86" w:id="55"/>
    <w:p>
      <w:pPr>
        <w:spacing w:after="0"/>
        <w:ind w:left="0"/>
        <w:jc w:val="both"/>
      </w:pPr>
      <w:r>
        <w:rPr>
          <w:rFonts w:ascii="Times New Roman"/>
          <w:b w:val="false"/>
          <w:i w:val="false"/>
          <w:color w:val="000000"/>
          <w:sz w:val="28"/>
        </w:rPr>
        <w:t>
      15.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шоғырландыруға мүмкіндік береді.</w:t>
      </w:r>
    </w:p>
    <w:bookmarkEnd w:id="55"/>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субъектісіне қатысты оны мемлекеттік бақылаудың кезекті кезеңіне кестелер мен тізімдерді қалыптастыру кезінде енгізуге жол берілмейді.</w:t>
      </w:r>
    </w:p>
    <w:bookmarkStart w:name="z87" w:id="5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p>
    <w:bookmarkStart w:name="z88" w:id="57"/>
    <w:p>
      <w:pPr>
        <w:spacing w:after="0"/>
        <w:ind w:left="0"/>
        <w:jc w:val="both"/>
      </w:pPr>
      <w:r>
        <w:rPr>
          <w:rFonts w:ascii="Times New Roman"/>
          <w:b w:val="false"/>
          <w:i w:val="false"/>
          <w:color w:val="000000"/>
          <w:sz w:val="28"/>
        </w:rPr>
        <w:t>
      16. Осы Өлшемшарттардың 8-тармағына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57"/>
    <w:p>
      <w:pPr>
        <w:spacing w:after="0"/>
        <w:ind w:left="0"/>
        <w:jc w:val="both"/>
      </w:pPr>
      <w:r>
        <w:rPr>
          <w:rFonts w:ascii="Times New Roman"/>
          <w:b w:val="false"/>
          <w:i w:val="false"/>
          <w:color w:val="000000"/>
          <w:sz w:val="28"/>
        </w:rPr>
        <w:t>
      Мемлекеттік орган осы Өлшемшарттардың 13-тармағына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8-тармағына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8-тармағына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3" w:id="58"/>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8"/>
    <w:p>
      <w:pPr>
        <w:spacing w:after="0"/>
        <w:ind w:left="0"/>
        <w:jc w:val="both"/>
      </w:pPr>
      <w:r>
        <w:rPr>
          <w:rFonts w:ascii="Times New Roman"/>
          <w:b w:val="false"/>
          <w:i w:val="false"/>
          <w:color w:val="000000"/>
          <w:sz w:val="28"/>
        </w:rPr>
        <w:t>
      Осы Өлшемшарттардың 13-тармағында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17-тармақпен толықтырылды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4" w:id="59"/>
    <w:p>
      <w:pPr>
        <w:spacing w:after="0"/>
        <w:ind w:left="0"/>
        <w:jc w:val="both"/>
      </w:pPr>
      <w:r>
        <w:rPr>
          <w:rFonts w:ascii="Times New Roman"/>
          <w:b w:val="false"/>
          <w:i w:val="false"/>
          <w:color w:val="000000"/>
          <w:sz w:val="28"/>
        </w:rPr>
        <w:t>
      18. Осы Қағидалардың 8-тармағына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8-тармағына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18-тармақпен толықтырылды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6" w:id="60"/>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19-тармақпен толықтырылды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лотереялар және лотерея</w:t>
            </w:r>
            <w:r>
              <w:br/>
            </w:r>
            <w:r>
              <w:rPr>
                <w:rFonts w:ascii="Times New Roman"/>
                <w:b w:val="false"/>
                <w:i w:val="false"/>
                <w:color w:val="000000"/>
                <w:sz w:val="20"/>
              </w:rPr>
              <w:t>қызметі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Лотерея және лотерея қызметі саласындағы бақылау субъектісіне (объектісіне) қойылатын талаптарды бұзу дәрежесі</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 өзгеріс енгізілді - ҚР Туризм және спорт министрінің м.а. 08.10.2024 </w:t>
      </w:r>
      <w:r>
        <w:rPr>
          <w:rFonts w:ascii="Times New Roman"/>
          <w:b w:val="false"/>
          <w:i w:val="false"/>
          <w:color w:val="ff0000"/>
          <w:sz w:val="28"/>
        </w:rPr>
        <w:t>№ 173</w:t>
      </w:r>
      <w:r>
        <w:rPr>
          <w:rFonts w:ascii="Times New Roman"/>
          <w:b w:val="false"/>
          <w:i w:val="false"/>
          <w:color w:val="ff0000"/>
          <w:sz w:val="28"/>
        </w:rPr>
        <w:t xml:space="preserve"> және ҚР Премьер-Министрінің орынбасары - Ұлттық экономика министрінің 10.10.2024 № 87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таратылған (іске асырылған)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қамтамасыз ету жөніндегі талаптарды сақтамауы және оны айына кемінде бір рет лотерея ақпаратын өңдеу орталығы арқылы лотерея есептілігі орталығына табыс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тапсырма шартының талаптарында тек қана он сегіз жасқа толған жеке тұлғалар арасында лотерея билеттерін, электрондық лотерея билеттерін тарату (іске асыру) бойынша лотерея таратушының (агенттің) міндеттемесінің болуы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лотерея таратушының (агенттің) лотереяға қатысушыларға ұтыстарды төлеу жөніндегі міндеттемесінің болуы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өткізу және лотереяға қатысушы сатып алған лотерея билетінің, электрондық лотерея билетінің негізінде ұтысты төлеу жөніндегі шарттарын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ұтқан лотерея қатысушысы туралы мәліметтерді, егер оның жазбаша келісімі алынбаса, жария етпеу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лотереялар және лотерея қызметі туралы заңнамасында көзделген тәртіппен ұйымдастырылатын және өткізілетін лотереялардан басқа, Қазақстан Республикасында өзге де лотереяларды ұйымдастыруға және өткізуге тыйым салу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лотереялар түрінде құмар ойындарды және (немесе) бәс тігуді өткізуге жол бермеу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өткізуден басқа кәсіпкерлік қызметтің өзге түрлерімен айналысуға тыйым салу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таратушымен (агентпен), атап айтқанда жеке кәсіпкермен немесе лотерея билеттерін, электрондық лотерея билеттерін сыйақы үшін таратуды (өткізуді), ұтыс лотерея билеттерін, электрондық лотерея билеттерді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терминалдары модельдері бақылау-касса машиналарының мемлекеттік тізіліміне енгізілген бақылау-касса машиналарымен жарақтандыру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аумағында лотерея ақпаратын өңдеу орталығының орналасуы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ақпаратын өңдеу орталығына және лотерея есептілігі орталығына ақпаратты жоғалтудан, ұрлаудан, бұрмалаудан, қолдан жасаудан, рұқсат етілмеген қол жеткізуден және оны тарату, бұғаттау, жою, түрлендіру, көшіру жөніндегі іс-әрекеттерден және өзге де заңсыз іс-әрекеттерден қорғауды қамтамасыз ету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жабдығына қойылатын талаптарды сақтамауы:</w:t>
            </w:r>
          </w:p>
          <w:p>
            <w:pPr>
              <w:spacing w:after="20"/>
              <w:ind w:left="20"/>
              <w:jc w:val="both"/>
            </w:pPr>
            <w:r>
              <w:rPr>
                <w:rFonts w:ascii="Times New Roman"/>
                <w:b w:val="false"/>
                <w:i w:val="false"/>
                <w:color w:val="000000"/>
                <w:sz w:val="20"/>
              </w:rPr>
              <w:t>
техникалық сипаттамалар жүлде қорын ұтыс ойыны кезінде ұтыстарды бөлудің кездейсоқтығын қамтамасыз етуі тиіс;</w:t>
            </w:r>
          </w:p>
          <w:p>
            <w:pPr>
              <w:spacing w:after="20"/>
              <w:ind w:left="20"/>
              <w:jc w:val="both"/>
            </w:pPr>
            <w:r>
              <w:rPr>
                <w:rFonts w:ascii="Times New Roman"/>
                <w:b w:val="false"/>
                <w:i w:val="false"/>
                <w:color w:val="000000"/>
                <w:sz w:val="20"/>
              </w:rPr>
              <w:t>
жүлде қорының ұтыс ойынын өткізу нәтижесін осындай ұтыс ойыны басталғанға дейін алдын ала анықтауға мүмкіндік беретін жасырын мүмкіндіктер және (немесе) рәсімдер мен алгоритмдер болмауға тиіс;</w:t>
            </w:r>
          </w:p>
          <w:p>
            <w:pPr>
              <w:spacing w:after="20"/>
              <w:ind w:left="20"/>
              <w:jc w:val="both"/>
            </w:pPr>
            <w:r>
              <w:rPr>
                <w:rFonts w:ascii="Times New Roman"/>
                <w:b w:val="false"/>
                <w:i w:val="false"/>
                <w:color w:val="000000"/>
                <w:sz w:val="20"/>
              </w:rPr>
              <w:t>
байланыс желісі бойынша лотерея терминалдарымен қосылмауға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тәсіліне, аумағына және технологиясына, сондай-ақ жүлде қорын қалыптастыру тәсіліне нұсқау;</w:t>
            </w:r>
          </w:p>
          <w:p>
            <w:pPr>
              <w:spacing w:after="20"/>
              <w:ind w:left="20"/>
              <w:jc w:val="both"/>
            </w:pPr>
            <w:r>
              <w:rPr>
                <w:rFonts w:ascii="Times New Roman"/>
                <w:b w:val="false"/>
                <w:i w:val="false"/>
                <w:color w:val="000000"/>
                <w:sz w:val="20"/>
              </w:rPr>
              <w:t>
3) лотерея операторының атауы оның орналасқан жері, банктік деректемелері, бизнес-сәйкестендіру нөмірі көрсетілуімен;</w:t>
            </w:r>
          </w:p>
          <w:p>
            <w:pPr>
              <w:spacing w:after="20"/>
              <w:ind w:left="20"/>
              <w:jc w:val="both"/>
            </w:pPr>
            <w:r>
              <w:rPr>
                <w:rFonts w:ascii="Times New Roman"/>
                <w:b w:val="false"/>
                <w:i w:val="false"/>
                <w:color w:val="000000"/>
                <w:sz w:val="20"/>
              </w:rPr>
              <w:t>
4) лотерея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ұтыс деп танылған лотереяға қатысушыға ұтысты төлеу тәртібі мен мерзімдері, сондай-ақ ұтыс лотерея билеттеріне, электрондық лотерея билеттеріне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электрондық лотерея билеттерін тарату (жүзеге асыру) тәртібі;</w:t>
            </w:r>
          </w:p>
          <w:p>
            <w:pPr>
              <w:spacing w:after="20"/>
              <w:ind w:left="20"/>
              <w:jc w:val="both"/>
            </w:pPr>
            <w:r>
              <w:rPr>
                <w:rFonts w:ascii="Times New Roman"/>
                <w:b w:val="false"/>
                <w:i w:val="false"/>
                <w:color w:val="000000"/>
                <w:sz w:val="20"/>
              </w:rPr>
              <w:t>
11) лотерея билетінің, электрондық лотерея билетінің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13) жүлде қорының жоспарланып отырған мөлшері;</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қалыптастыру мен ұтысқа салу қағидалары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операторы бекіткен лотереяны өткізу шарттарының түпнұсқа данасын Лотерея және лотерея қызметі саласындағы уәкілетті органға оны өткізу басталғанға дейін күнтізбелік он күннен кешіктірмей жіберу және лотереяны өткізу шарттарын оны өткізу басталғанға дейін күнтізбелік бір күннен кешіктірмей өзінің интернет-ресурсында орналастыру бойынша міндеттемені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сатылған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оны ойнату басталғанға дейін қалыптастыру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лотереяға қатысушылар алдындағы ұтыстарды төлеу жөніндегі, сондай-ақ жүлде қорының қаражатын ұтыстарды төлеуден өзгеше пайдалану жөніндегі міндеттемелерді қоспағанда, жүлде қорына қандай да бір міндеттемелермен ауыртпалық салуға тыйым салу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шарттарына сәйкес ұтқан деп танылған лотереяға қатысушыға лотерея өткізу шарттарына сәйкес ұтыстарды мөлшері мен нысанында (ақшалай немесе заттай) төлеу жөніндегі талапты сақтамауы (ұтыстарды төлеу тиісті таралым өткізілгеннен кейін отыз күн мерзімнен кешіктірілмей басталуы және нәтижелері жарияланған сәттен бастап кемінде алты ай жалғасуы тиіс (жүлде қорының ұтыс 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шарттарында белгіленген мерзімде талап етілмеген ұтыстарды тиісті тираждың (жүлде қорының ұтыс ойынының) нәтижелері жарияланған кезден бастап үш жыл ішінде сақтау жөніндегі талапты сақтамауы, содан кейін олар салық емес төлем түрінде бюджет кірісіне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 қоспағанда,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нөмірі;</w:t>
            </w:r>
          </w:p>
          <w:p>
            <w:pPr>
              <w:spacing w:after="20"/>
              <w:ind w:left="20"/>
              <w:jc w:val="both"/>
            </w:pPr>
            <w:r>
              <w:rPr>
                <w:rFonts w:ascii="Times New Roman"/>
                <w:b w:val="false"/>
                <w:i w:val="false"/>
                <w:color w:val="000000"/>
                <w:sz w:val="20"/>
              </w:rPr>
              <w:t>
5) лотерея билетінің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электрондық лотерея билетінің нөмірі;</w:t>
            </w:r>
          </w:p>
          <w:p>
            <w:pPr>
              <w:spacing w:after="20"/>
              <w:ind w:left="20"/>
              <w:jc w:val="both"/>
            </w:pPr>
            <w:r>
              <w:rPr>
                <w:rFonts w:ascii="Times New Roman"/>
                <w:b w:val="false"/>
                <w:i w:val="false"/>
                <w:color w:val="000000"/>
                <w:sz w:val="20"/>
              </w:rPr>
              <w:t>
3) электрондық лотерея билетінің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билеттерінде, электрондық лотерея билеттерінде қамтылған ақпараттың орфография және түпнұсқалық аударма нормаларының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Ұтысты анықтау мақсатында лотереяға қатысушы өзінің лотерея билетіндегі, электрондық лотерея билетіндегі лотерея комбинациясымен салыстыруға тиіс тираждық лотереясының жүлде қорын лотерея жабдығымен ұтыс ойынын кездейсоқ түрде ұтып алған лотерея комбинациясын генерациялау жолымен жүзеге асыру бойынша лотерея операторымен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қорының ұтыс ойынын өткізу кезінде тираждық комиссия құру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ұтыстарды телеарнада тікелей эфирде немесе интернет желісінде айқындау рәсімін көрсете отырып, тираждық лотереяның жүлде қорының ұтыс ойынын трансляциялауды қамтамасыз ету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жүлде қорының әрбір ұтыс ойынының және лотерея билеттері, тираждық лотереяның электрондық лотерея билеттері бойынша ұтыстарының нәтижелерін Қазақстан Республикасының бүкіл аумағында таратылатын мерзімді баспасөз басылымдарында үш жұмыс күні ішінде жариялау немесе лотерея операторының интернет-ресурсында көрсетілген ұтыс ойыны өткізілген сәттен бастап он екі сағат ішінде орналастыру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 өткізу тоқтатылған жағдайда, бас жүлдені қоса алғанда, жүлде қорын толық ойнату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 міндеттерін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xml:space="preserve">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және лотерея қызметі саласындағы уәкілетті органмен лотерея өткізу жөніндегі келісу шарттарын, оған Қазақстан Республикасының лотереялар және лотерея қызметі туралы заңнамасына сәйкес өзгерістер мен толықтыруларды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 тарату (жүзеге асыру) және лотерея терминалдарын орнату жөніндегі талапты сақтамауы.</w:t>
            </w:r>
          </w:p>
          <w:p>
            <w:pPr>
              <w:spacing w:after="20"/>
              <w:ind w:left="20"/>
              <w:jc w:val="both"/>
            </w:pPr>
            <w:r>
              <w:rPr>
                <w:rFonts w:ascii="Times New Roman"/>
                <w:b w:val="false"/>
                <w:i w:val="false"/>
                <w:color w:val="000000"/>
                <w:sz w:val="20"/>
              </w:rPr>
              <w:t>
Мыналарда:</w:t>
            </w:r>
          </w:p>
          <w:p>
            <w:pPr>
              <w:spacing w:after="20"/>
              <w:ind w:left="20"/>
              <w:jc w:val="both"/>
            </w:pPr>
            <w:r>
              <w:rPr>
                <w:rFonts w:ascii="Times New Roman"/>
                <w:b w:val="false"/>
                <w:i w:val="false"/>
                <w:color w:val="000000"/>
                <w:sz w:val="20"/>
              </w:rPr>
              <w:t>
1) көппәтерлі тұрғын үйлерде, жатақханаларда;</w:t>
            </w:r>
          </w:p>
          <w:p>
            <w:pPr>
              <w:spacing w:after="20"/>
              <w:ind w:left="20"/>
              <w:jc w:val="both"/>
            </w:pPr>
            <w:r>
              <w:rPr>
                <w:rFonts w:ascii="Times New Roman"/>
                <w:b w:val="false"/>
                <w:i w:val="false"/>
                <w:color w:val="000000"/>
                <w:sz w:val="20"/>
              </w:rPr>
              <w:t>
2) білім беру ұйымдарында және олардан бір жүз метр радиуста;</w:t>
            </w:r>
          </w:p>
          <w:p>
            <w:pPr>
              <w:spacing w:after="20"/>
              <w:ind w:left="20"/>
              <w:jc w:val="both"/>
            </w:pPr>
            <w:r>
              <w:rPr>
                <w:rFonts w:ascii="Times New Roman"/>
                <w:b w:val="false"/>
                <w:i w:val="false"/>
                <w:color w:val="000000"/>
                <w:sz w:val="20"/>
              </w:rPr>
              <w:t>
3) денсаулық сақтау ұйымдарында және олардан бір жүз метр радиуста;</w:t>
            </w:r>
          </w:p>
          <w:p>
            <w:pPr>
              <w:spacing w:after="20"/>
              <w:ind w:left="20"/>
              <w:jc w:val="both"/>
            </w:pPr>
            <w:r>
              <w:rPr>
                <w:rFonts w:ascii="Times New Roman"/>
                <w:b w:val="false"/>
                <w:i w:val="false"/>
                <w:color w:val="000000"/>
                <w:sz w:val="20"/>
              </w:rPr>
              <w:t>
4) ғибадат ғимараттарында (құрылысжайларында);</w:t>
            </w:r>
          </w:p>
          <w:p>
            <w:pPr>
              <w:spacing w:after="20"/>
              <w:ind w:left="20"/>
              <w:jc w:val="both"/>
            </w:pPr>
            <w:r>
              <w:rPr>
                <w:rFonts w:ascii="Times New Roman"/>
                <w:b w:val="false"/>
                <w:i w:val="false"/>
                <w:color w:val="000000"/>
                <w:sz w:val="20"/>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лотереялар және лотерея</w:t>
            </w:r>
            <w:r>
              <w:br/>
            </w:r>
            <w:r>
              <w:rPr>
                <w:rFonts w:ascii="Times New Roman"/>
                <w:b w:val="false"/>
                <w:i w:val="false"/>
                <w:color w:val="000000"/>
                <w:sz w:val="20"/>
              </w:rPr>
              <w:t>қызметі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08" w:id="61"/>
    <w:p>
      <w:pPr>
        <w:spacing w:after="0"/>
        <w:ind w:left="0"/>
        <w:jc w:val="left"/>
      </w:pPr>
      <w:r>
        <w:rPr>
          <w:rFonts w:ascii="Times New Roman"/>
          <w:b/>
          <w:i w:val="false"/>
          <w:color w:val="000000"/>
        </w:rPr>
        <w:t xml:space="preserve"> Қазақстан Республикасының лотереялар және лотерея қызметі туралы заңнамасының сақталуына субъективті критерийлер бойынша тәуекел дәрежесін айқындау үшін субъективті критерийлер тізбесі</w:t>
      </w:r>
      <w:r>
        <w:br/>
      </w:r>
      <w:r>
        <w:rPr>
          <w:rFonts w:ascii="Times New Roman"/>
          <w:b/>
          <w:i w:val="false"/>
          <w:color w:val="000000"/>
        </w:rPr>
        <w:t xml:space="preserve">(Қазақстан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1"/>
    <w:p>
      <w:pPr>
        <w:spacing w:after="0"/>
        <w:ind w:left="0"/>
        <w:jc w:val="both"/>
      </w:pPr>
      <w:r>
        <w:rPr>
          <w:rFonts w:ascii="Times New Roman"/>
          <w:b w:val="false"/>
          <w:i w:val="false"/>
          <w:color w:val="ff0000"/>
          <w:sz w:val="28"/>
        </w:rPr>
        <w:t xml:space="preserve">
      Ескерту. Өлшемшарттар 2-қосымшамен толықтырылды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Субъективті </w:t>
            </w:r>
            <w:r>
              <w:rPr>
                <w:rFonts w:ascii="Times New Roman"/>
                <w:b/>
                <w:i w:val="false"/>
                <w:color w:val="000000"/>
                <w:sz w:val="20"/>
              </w:rPr>
              <w:t>өлшемшарттар</w:t>
            </w:r>
            <w:r>
              <w:rPr>
                <w:rFonts w:ascii="Times New Roman"/>
                <w:b/>
                <w:i w:val="false"/>
                <w:color w:val="000000"/>
                <w:sz w:val="20"/>
              </w:rPr>
              <w:t xml:space="preserve">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Субъективті </w:t>
            </w:r>
            <w:r>
              <w:rPr>
                <w:rFonts w:ascii="Times New Roman"/>
                <w:b/>
                <w:i w:val="false"/>
                <w:color w:val="000000"/>
                <w:sz w:val="20"/>
              </w:rPr>
              <w:t>өлшемшарт</w:t>
            </w:r>
            <w:r>
              <w:rPr>
                <w:rFonts w:ascii="Times New Roman"/>
                <w:b/>
                <w:i w:val="false"/>
                <w:color w:val="000000"/>
                <w:sz w:val="20"/>
              </w:rPr>
              <w:t xml:space="preserve">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Маңыздылығы бойынша үлес салмағы, балл (барлығы 100 баллға дейін болуы тиіс), </w:t>
            </w:r>
            <w:r>
              <w:rPr>
                <w:rFonts w:ascii="Times New Roman"/>
                <w:b/>
                <w:i w:val="false"/>
                <w:color w:val="000000"/>
                <w:sz w:val="20"/>
              </w:rPr>
              <w:t>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Шарттар / мәндер, </w:t>
            </w:r>
            <w:r>
              <w:rPr>
                <w:rFonts w:ascii="Times New Roman"/>
                <w:b/>
                <w:i w:val="false"/>
                <w:color w:val="000000"/>
                <w:sz w:val="20"/>
              </w:rPr>
              <w:t>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195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2016 жылғы 18 шілдедегі</w:t>
            </w:r>
            <w:r>
              <w:br/>
            </w:r>
            <w:r>
              <w:rPr>
                <w:rFonts w:ascii="Times New Roman"/>
                <w:b w:val="false"/>
                <w:i w:val="false"/>
                <w:color w:val="000000"/>
                <w:sz w:val="20"/>
              </w:rPr>
              <w:t>№ 323 бірлескен бұйрығына</w:t>
            </w:r>
            <w:r>
              <w:br/>
            </w:r>
            <w:r>
              <w:rPr>
                <w:rFonts w:ascii="Times New Roman"/>
                <w:b w:val="false"/>
                <w:i w:val="false"/>
                <w:color w:val="000000"/>
                <w:sz w:val="20"/>
              </w:rPr>
              <w:t>2-қосымша</w:t>
            </w:r>
          </w:p>
        </w:tc>
      </w:tr>
    </w:tbl>
    <w:bookmarkStart w:name="z47" w:id="62"/>
    <w:p>
      <w:pPr>
        <w:spacing w:after="0"/>
        <w:ind w:left="0"/>
        <w:jc w:val="left"/>
      </w:pPr>
      <w:r>
        <w:rPr>
          <w:rFonts w:ascii="Times New Roman"/>
          <w:b/>
          <w:i w:val="false"/>
          <w:color w:val="000000"/>
        </w:rPr>
        <w:t xml:space="preserve"> Лотерея операторына қатысты Қазақстан Республикасының лотереялар және лотерея қызметі туралы заңнамасын сақтаудың тексеру парағы</w:t>
      </w:r>
      <w:r>
        <w:br/>
      </w:r>
      <w:r>
        <w:rPr>
          <w:rFonts w:ascii="Times New Roman"/>
          <w:b/>
          <w:i w:val="false"/>
          <w:color w:val="000000"/>
        </w:rPr>
        <w:t xml:space="preserve">(Қазақстан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2"/>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м.а. 22.12.2022 </w:t>
      </w:r>
      <w:r>
        <w:rPr>
          <w:rFonts w:ascii="Times New Roman"/>
          <w:b w:val="false"/>
          <w:i w:val="false"/>
          <w:color w:val="ff0000"/>
          <w:sz w:val="28"/>
        </w:rPr>
        <w:t>№ 380</w:t>
      </w:r>
      <w:r>
        <w:rPr>
          <w:rFonts w:ascii="Times New Roman"/>
          <w:b w:val="false"/>
          <w:i w:val="false"/>
          <w:color w:val="ff0000"/>
          <w:sz w:val="28"/>
        </w:rPr>
        <w:t xml:space="preserve"> және ҚР Ұлттық экономика министрінің 22.12.2022 № 136 (01.01.2023 бастап қолданысқа енгізіледі); өзгерістер енгізілді - ҚР Мәдениет және спорт министрінің м.а. 05.05.2023 </w:t>
      </w:r>
      <w:r>
        <w:rPr>
          <w:rFonts w:ascii="Times New Roman"/>
          <w:b w:val="false"/>
          <w:i w:val="false"/>
          <w:color w:val="ff0000"/>
          <w:sz w:val="28"/>
        </w:rPr>
        <w:t>№ 113</w:t>
      </w:r>
      <w:r>
        <w:rPr>
          <w:rFonts w:ascii="Times New Roman"/>
          <w:b w:val="false"/>
          <w:i w:val="false"/>
          <w:color w:val="ff0000"/>
          <w:sz w:val="28"/>
        </w:rPr>
        <w:t xml:space="preserve"> және ҚР Ұлттық экономика министрінің м.а. 05.05.2023 № 60 (алғашқы ресми жарияланған күнінен кейін күнтізбелік он күн өткен соң қолданысқа енгізіледі); ҚР Туризм және спорт министрінің м.а. 08.10.2024 </w:t>
      </w:r>
      <w:r>
        <w:rPr>
          <w:rFonts w:ascii="Times New Roman"/>
          <w:b w:val="false"/>
          <w:i w:val="false"/>
          <w:color w:val="ff0000"/>
          <w:sz w:val="28"/>
        </w:rPr>
        <w:t>№ 173</w:t>
      </w:r>
      <w:r>
        <w:rPr>
          <w:rFonts w:ascii="Times New Roman"/>
          <w:b w:val="false"/>
          <w:i w:val="false"/>
          <w:color w:val="ff0000"/>
          <w:sz w:val="28"/>
        </w:rPr>
        <w:t xml:space="preserve"> және ҚР Премьер-Министрінің орынбасары - Ұлттық экономика министрінің 10.10.2024 № 87 (алғашқы ресми жарияланған күнінен кейін он күнтізбелік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тапсырма шартының талаптарында тек қана он сегіз жасқа толған жеке тұлғалар арасында лотерея билеттерін, электрондық лотерея билеттерін тарату (іске асыру) бойынша лотерея таратушының (агенттің) міндеттемесінің болуы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лотерея таратушының (агенттің) лотереяға қатысушыларға ұтыстарды төлеу жөніндегі міндеттемесінің болуы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өткізу және лотереяға қатысушы сатып алған лотерея билетінің, электрондық лотерея билетінің негізінде ұтысты төлеу жөніндегі шарттарын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ұтқан лотерея қатысушысы туралы мәліметтерді, егер оның жазбаша келісімі алынбаса, жария етпеу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лотереялар және лотерея қызметі туралы заңнамасында көзделген тәртіппен ұйымдастырылатын және өткізілетін лотереялардан басқа, Қазақстан Республикасында өзге де лотереяларды ұйымдастыруға және өткізуге тыйым салу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лотереялар түрінде құмар ойындарды және (немесе) бәс тігуді өткізуге жол бермеу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өткізуден басқа кәсіпкерлік қызметтің өзге түрлерімен айналысуға тыйым салу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таратушымен (агентпен), атап айтқанда жеке кәсіпкермен немесе лотерея билеттерін, электрондық лотерея билеттерін сыйақы үшін таратуды (өткізуді), ұтыс лотерея билеттерін, электрондық лотерея билеттерді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терминалдары модельдері бақылау-касса машиналарының мемлекеттік тізіліміне енгізілген бақылау-касса машиналарымен жарақтандыру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аумағында лотерея ақпаратын өңдеу орталығының орналасуы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ақпаратын өңдеу орталығына және лотерея есептілігі орталығына ақпаратты жоғалтудан, ұрлаудан, бұрмалаудан, қолдан жасаудан, рұқсат етілмеген қол жеткізуден және оны тарату, бұғаттау, жою, түрлендіру, көшіру жөніндегі іс-әрекеттерден және өзге де заңсыз іс-әрекеттерден қорғауды қамтамасыз ету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жабдығына қойылатын талаптарды сақтамауы:</w:t>
            </w:r>
          </w:p>
          <w:p>
            <w:pPr>
              <w:spacing w:after="20"/>
              <w:ind w:left="20"/>
              <w:jc w:val="both"/>
            </w:pPr>
            <w:r>
              <w:rPr>
                <w:rFonts w:ascii="Times New Roman"/>
                <w:b w:val="false"/>
                <w:i w:val="false"/>
                <w:color w:val="000000"/>
                <w:sz w:val="20"/>
              </w:rPr>
              <w:t>
техникалық сипаттамалар жүлде қорын ұтыс ойыны кезінде ұтыстарды бөлудің кездейсоқтығын қамтамасыз етуі тиіс;</w:t>
            </w:r>
          </w:p>
          <w:p>
            <w:pPr>
              <w:spacing w:after="20"/>
              <w:ind w:left="20"/>
              <w:jc w:val="both"/>
            </w:pPr>
            <w:r>
              <w:rPr>
                <w:rFonts w:ascii="Times New Roman"/>
                <w:b w:val="false"/>
                <w:i w:val="false"/>
                <w:color w:val="000000"/>
                <w:sz w:val="20"/>
              </w:rPr>
              <w:t>
жүлде қорының ұтыс ойынын өткізу нәтижесін осындай ұтыс ойыны басталғанға дейін алдын ала анықтауға мүмкіндік беретін жасырын мүмкіндіктер және (немесе) рәсімдер мен алгоритмдер болмауға тиіс;</w:t>
            </w:r>
          </w:p>
          <w:p>
            <w:pPr>
              <w:spacing w:after="20"/>
              <w:ind w:left="20"/>
              <w:jc w:val="both"/>
            </w:pPr>
            <w:r>
              <w:rPr>
                <w:rFonts w:ascii="Times New Roman"/>
                <w:b w:val="false"/>
                <w:i w:val="false"/>
                <w:color w:val="000000"/>
                <w:sz w:val="20"/>
              </w:rPr>
              <w:t>
байланыс желісі бойынша лотерея терминалдарымен қосылмауға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тәсіліне, аумағына және технологиясына, сондай-ақ жүлде қорын қалыптастыру тәсіліне нұсқау;</w:t>
            </w:r>
          </w:p>
          <w:p>
            <w:pPr>
              <w:spacing w:after="20"/>
              <w:ind w:left="20"/>
              <w:jc w:val="both"/>
            </w:pPr>
            <w:r>
              <w:rPr>
                <w:rFonts w:ascii="Times New Roman"/>
                <w:b w:val="false"/>
                <w:i w:val="false"/>
                <w:color w:val="000000"/>
                <w:sz w:val="20"/>
              </w:rPr>
              <w:t>
3) лотерея операторының атауы оның орналасқан жері, банктік деректемелері, бизнес-сәйкестендіру нөмірі көрсетілуімен;</w:t>
            </w:r>
          </w:p>
          <w:p>
            <w:pPr>
              <w:spacing w:after="20"/>
              <w:ind w:left="20"/>
              <w:jc w:val="both"/>
            </w:pPr>
            <w:r>
              <w:rPr>
                <w:rFonts w:ascii="Times New Roman"/>
                <w:b w:val="false"/>
                <w:i w:val="false"/>
                <w:color w:val="000000"/>
                <w:sz w:val="20"/>
              </w:rPr>
              <w:t>
4) лотерея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ұтыс деп танылған лотереяға қатысушыға ұтысты төлеу тәртібі мен мерзімдері, сондай-ақ ұтыс лотерея билеттеріне, электрондық лотерея билеттеріне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электрондық лотерея билеттерін тарату (жүзеге асыру) тәртібі;</w:t>
            </w:r>
          </w:p>
          <w:p>
            <w:pPr>
              <w:spacing w:after="20"/>
              <w:ind w:left="20"/>
              <w:jc w:val="both"/>
            </w:pPr>
            <w:r>
              <w:rPr>
                <w:rFonts w:ascii="Times New Roman"/>
                <w:b w:val="false"/>
                <w:i w:val="false"/>
                <w:color w:val="000000"/>
                <w:sz w:val="20"/>
              </w:rPr>
              <w:t>
11) лотерея билетінің, электрондық лотерея билетінің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13) жүлде қорының жоспарланып отырған мөлшері;</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қалыптастыру мен ұтысқа салу қағидалары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операторы бекіткен лотереяны өткізу шарттарының түпнұсқа данасын Лотерея және лотерея қызметі саласындағы уәкілетті органға оны өткізу басталғанға дейін күнтізбелік он күннен кешіктірмей жіберу және лотереяны өткізу шарттарын оны өткізу басталғанға дейін күнтізбелік бір күннен кешіктірмей өзінің интернет-ресурсында орналастыру бойынша міндеттемені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сатылған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оны ойнату басталғанға дейін қалыптастыру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лотереяға қатысушылар алдындағы ұтыстарды төлеу жөніндегі, сондай-ақ жүлде қорының қаражатын ұтыстарды төлеуден өзгеше пайдалану жөніндегі міндеттемелерді қоспағанда, жүлде қорына қандай да бір міндеттемелермен ауыртпалық салуға тыйым салу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салу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шарттарына сәйкес ұтқан деп танылған лотереяға қатысушыға лотерея өткізу шарттарына сәйкес ұтыстарды мөлшері мен нысанында (ақшалай немесе заттай) төлеу жөніндегі талапты сақтамауы (ұтыстарды төлеу тиісті таралым өткізілгеннен кейін отыз күн мерзімнен кешіктірілмей басталуы және нәтижелері жарияланған сәттен бастап кемінде алты ай жалғасуы тиіс (жүлде қорының ұтыс ойыны)).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шарттарында белгіленген мерзімде талап етілмеген ұтыстарды тиісті тираждың (жүлде қорының ұтыс ойынының) нәтижелері жарияланған кезден бастап үш жыл ішінде сақтау жөніндегі талапты сақтамауы, содан кейін олар салық емес төлем түрінде бюджет кірісіне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 қоспағанда,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нөмірі;</w:t>
            </w:r>
          </w:p>
          <w:p>
            <w:pPr>
              <w:spacing w:after="20"/>
              <w:ind w:left="20"/>
              <w:jc w:val="both"/>
            </w:pPr>
            <w:r>
              <w:rPr>
                <w:rFonts w:ascii="Times New Roman"/>
                <w:b w:val="false"/>
                <w:i w:val="false"/>
                <w:color w:val="000000"/>
                <w:sz w:val="20"/>
              </w:rPr>
              <w:t>
5) лотерея билетінің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электрондық лотерея билетінің нөмірі;</w:t>
            </w:r>
          </w:p>
          <w:p>
            <w:pPr>
              <w:spacing w:after="20"/>
              <w:ind w:left="20"/>
              <w:jc w:val="both"/>
            </w:pPr>
            <w:r>
              <w:rPr>
                <w:rFonts w:ascii="Times New Roman"/>
                <w:b w:val="false"/>
                <w:i w:val="false"/>
                <w:color w:val="000000"/>
                <w:sz w:val="20"/>
              </w:rPr>
              <w:t>
3) электрондық лотерея билетінің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билеттерінде, электрондық лотерея билеттерінде қамтылған ақпараттың орфография және түпнұсқалық аударма нормаларының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Ұтысты анықтау мақсатында лотереяға қатысушы өзінің лотерея билетіндегі, электрондық лотерея билетіндегі лотерея комбинациясымен салыстыруға тиіс тираждық лотереясының жүлде қорын лотерея жабдығымен ұтыс ойынын кездейсоқ түрде ұтып алған лотерея комбинациясын генерациялау жолымен жүзеге асыру бойынша лотерея операторымен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қорының ұтыс ойынын өткізу кезінде тираждық комиссия құру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ұтыстарды телеарнада тікелей эфирде немесе интернет желісінде айқындау рәсімін көрсете отырып, тираждық лотереяның жүлде қорының ұтыс ойынын трансляциялауды қамтамасыз ету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жүлде қорының әрбір ұтыс ойынының және лотерея билеттері, тираждық лотереяның электрондық лотерея билеттері бойынша ұтыстарының нәтижелерін Қазақстан Республикасының бүкіл аумағында таратылатын мерзімді баспасөз басылымдарында үш жұмыс күні ішінде жариялау немесе лотерея операторының интернет-ресурсында көрсетілген ұтыс ойыны өткізілген сәттен бастап он екі сағат ішінде орналастыру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 өткізу тоқтатылған жағдайда, бас жүлдені қоса алғанда, жүлде қорын толық ойнату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 міндеттерін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таратылған (іске асырылған)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қамтамасыз ету жөніндегі талаптарды сақтамауы және оны айына кемінде бір рет лотерея ақпаратын өңдеу орталығы арқылы лотерея есептілігі орталығына табыс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және лотерея қызметі саласындағы уәкілетті органмен лотерея өткізу жөніндегі келісу шарттарын, оған Қазақстан Республикасының лотереялар және лотерея қызметі туралы заңнамасына сәйкес өзгерістер мен толықтыруларды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 тарату (жүзеге асыру) және лотерея терминалдарын орнату жөніндегі талапты сақтамауы.</w:t>
            </w:r>
          </w:p>
          <w:p>
            <w:pPr>
              <w:spacing w:after="20"/>
              <w:ind w:left="20"/>
              <w:jc w:val="both"/>
            </w:pPr>
            <w:r>
              <w:rPr>
                <w:rFonts w:ascii="Times New Roman"/>
                <w:b w:val="false"/>
                <w:i w:val="false"/>
                <w:color w:val="000000"/>
                <w:sz w:val="20"/>
              </w:rPr>
              <w:t>
Мыналарда:</w:t>
            </w:r>
          </w:p>
          <w:p>
            <w:pPr>
              <w:spacing w:after="20"/>
              <w:ind w:left="20"/>
              <w:jc w:val="both"/>
            </w:pPr>
            <w:r>
              <w:rPr>
                <w:rFonts w:ascii="Times New Roman"/>
                <w:b w:val="false"/>
                <w:i w:val="false"/>
                <w:color w:val="000000"/>
                <w:sz w:val="20"/>
              </w:rPr>
              <w:t>
1) көппәтерлі тұрғын үйлерде, жатақханаларда;</w:t>
            </w:r>
          </w:p>
          <w:p>
            <w:pPr>
              <w:spacing w:after="20"/>
              <w:ind w:left="20"/>
              <w:jc w:val="both"/>
            </w:pPr>
            <w:r>
              <w:rPr>
                <w:rFonts w:ascii="Times New Roman"/>
                <w:b w:val="false"/>
                <w:i w:val="false"/>
                <w:color w:val="000000"/>
                <w:sz w:val="20"/>
              </w:rPr>
              <w:t>
2) білім беру ұйымдарында және олардан бір жүз метр радиуста;</w:t>
            </w:r>
          </w:p>
          <w:p>
            <w:pPr>
              <w:spacing w:after="20"/>
              <w:ind w:left="20"/>
              <w:jc w:val="both"/>
            </w:pPr>
            <w:r>
              <w:rPr>
                <w:rFonts w:ascii="Times New Roman"/>
                <w:b w:val="false"/>
                <w:i w:val="false"/>
                <w:color w:val="000000"/>
                <w:sz w:val="20"/>
              </w:rPr>
              <w:t>
3) денсаулық сақтау ұйымдарында және олардан бір жүз метр радиуста;</w:t>
            </w:r>
          </w:p>
          <w:p>
            <w:pPr>
              <w:spacing w:after="20"/>
              <w:ind w:left="20"/>
              <w:jc w:val="both"/>
            </w:pPr>
            <w:r>
              <w:rPr>
                <w:rFonts w:ascii="Times New Roman"/>
                <w:b w:val="false"/>
                <w:i w:val="false"/>
                <w:color w:val="000000"/>
                <w:sz w:val="20"/>
              </w:rPr>
              <w:t>
4) ғибадат ғимараттарында (құрылысжайларында);</w:t>
            </w:r>
          </w:p>
          <w:p>
            <w:pPr>
              <w:spacing w:after="20"/>
              <w:ind w:left="20"/>
              <w:jc w:val="both"/>
            </w:pPr>
            <w:r>
              <w:rPr>
                <w:rFonts w:ascii="Times New Roman"/>
                <w:b w:val="false"/>
                <w:i w:val="false"/>
                <w:color w:val="000000"/>
                <w:sz w:val="20"/>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