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e5b" w14:textId="bd12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жағдайларын реттеуге арналған резервті есептеу және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347 бұйрығы. Қазақстан Республикасының Әділет министрлігінде 2016 жылы 31 тамызда № 14183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10.10.2016 ж.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Кепілдік беру жағдайларын реттеуге арналған резервті есептеу және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Кепілдік беру жағдайларын реттеуге арналған резервті есептеу және қалыптастыру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Кепілдік беру жағдайларын реттеуге арналған резервті есептеу және қалыптастыру әдістемесі (бұдан әрі – Әдістеме)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әзірленді.</w:t>
      </w:r>
    </w:p>
    <w:bookmarkEnd w:id="11"/>
    <w:bookmarkStart w:name="z38" w:id="12"/>
    <w:p>
      <w:pPr>
        <w:spacing w:after="0"/>
        <w:ind w:left="0"/>
        <w:jc w:val="both"/>
      </w:pPr>
      <w:r>
        <w:rPr>
          <w:rFonts w:ascii="Times New Roman"/>
          <w:b w:val="false"/>
          <w:i w:val="false"/>
          <w:color w:val="000000"/>
          <w:sz w:val="28"/>
        </w:rPr>
        <w:t>
      2. Әдістеме Тұрғын үй құрылысының бірыңғай операторының (бұдан әрі – Бірыңғай оператор) Заңда көзделген кепілдік беру жағдайларында көппәтерлі тұрғын үйдің құрылысын аяқтау мен байланысты міндеттемелерді жабу үшін кепілдік беру туралы шартты жасасу күніне нысаналы деңгеймен резерв мөлшерін есептеуін және қалыптастыруын регламенттейді.</w:t>
      </w:r>
    </w:p>
    <w:bookmarkEnd w:id="12"/>
    <w:p>
      <w:pPr>
        <w:spacing w:after="0"/>
        <w:ind w:left="0"/>
        <w:jc w:val="both"/>
      </w:pPr>
      <w:r>
        <w:rPr>
          <w:rFonts w:ascii="Times New Roman"/>
          <w:b w:val="false"/>
          <w:i w:val="false"/>
          <w:color w:val="000000"/>
          <w:sz w:val="28"/>
        </w:rPr>
        <w:t>
      Бұл ретте резерв көлемін қайта есептеу тоқсан сайын Бірыңғай оператордың нормативтік актілеріне сәйкес жүргізіледі.</w:t>
      </w:r>
    </w:p>
    <w:bookmarkStart w:name="z39" w:id="13"/>
    <w:p>
      <w:pPr>
        <w:spacing w:after="0"/>
        <w:ind w:left="0"/>
        <w:jc w:val="both"/>
      </w:pPr>
      <w:r>
        <w:rPr>
          <w:rFonts w:ascii="Times New Roman"/>
          <w:b w:val="false"/>
          <w:i w:val="false"/>
          <w:color w:val="000000"/>
          <w:sz w:val="28"/>
        </w:rPr>
        <w:t>
      3. Осы Әдістемеде бірыңғай қолдану мақсатында мынадай ұғымдар пайдаланылады:</w:t>
      </w:r>
    </w:p>
    <w:bookmarkEnd w:id="13"/>
    <w:p>
      <w:pPr>
        <w:spacing w:after="0"/>
        <w:ind w:left="0"/>
        <w:jc w:val="both"/>
      </w:pPr>
      <w:r>
        <w:rPr>
          <w:rFonts w:ascii="Times New Roman"/>
          <w:b w:val="false"/>
          <w:i w:val="false"/>
          <w:color w:val="000000"/>
          <w:sz w:val="28"/>
        </w:rPr>
        <w:t>
      1) болжамды шығындар/залалдар (Expected losses – EL) - кепілдік беру жағдайының туындау ықтималдығын есепке ала отырып, көппәтерлі тұрғын үйдің құрылысын аяқтау барысында туындайтын болжамды шығыстардың сомасы;</w:t>
      </w:r>
    </w:p>
    <w:p>
      <w:pPr>
        <w:spacing w:after="0"/>
        <w:ind w:left="0"/>
        <w:jc w:val="both"/>
      </w:pPr>
      <w:r>
        <w:rPr>
          <w:rFonts w:ascii="Times New Roman"/>
          <w:b w:val="false"/>
          <w:i w:val="false"/>
          <w:color w:val="000000"/>
          <w:sz w:val="28"/>
        </w:rPr>
        <w:t>
      2) кепілдік беру жағдайларын реттеуге арналған резервтің нысаналы деңгейі (Target Reserve Ratio – TRR) – пайызбен берілген Бірыңғай оператор шығындарының/залалдарының жиынтық сомасының кепілдік міндеттемелерінің жиынтық сомасына қатынасы;</w:t>
      </w:r>
    </w:p>
    <w:p>
      <w:pPr>
        <w:spacing w:after="0"/>
        <w:ind w:left="0"/>
        <w:jc w:val="both"/>
      </w:pPr>
      <w:r>
        <w:rPr>
          <w:rFonts w:ascii="Times New Roman"/>
          <w:b w:val="false"/>
          <w:i w:val="false"/>
          <w:color w:val="000000"/>
          <w:sz w:val="28"/>
        </w:rPr>
        <w:t>
      3) кепілдік беру жағдайының туындау ықтималдығы (Probability of Default – PD) – уәкілетті компанияның/құрылыс салушының кепілдік беру туралы шарты бойынша өз міндеттемелерін орындамауына әкеп соғатын жағдайлардың (объективті және субъективті) жиынтығы;</w:t>
      </w:r>
    </w:p>
    <w:p>
      <w:pPr>
        <w:spacing w:after="0"/>
        <w:ind w:left="0"/>
        <w:jc w:val="both"/>
      </w:pPr>
      <w:r>
        <w:rPr>
          <w:rFonts w:ascii="Times New Roman"/>
          <w:b w:val="false"/>
          <w:i w:val="false"/>
          <w:color w:val="000000"/>
          <w:sz w:val="28"/>
        </w:rPr>
        <w:t>
      4) кепілдік міндеттемелерінің сомасы (Exposure at Default – EAD) - тәуелсіз баға беру компаниясының есебімен және орындалған жұмыстар актісімен расталған аяқталмаған құрылыс құнын шегергенде Заңмен айқындалған көппәтерлі тұрғын үйдің жобалық құны.</w:t>
      </w:r>
    </w:p>
    <w:p>
      <w:pPr>
        <w:spacing w:after="0"/>
        <w:ind w:left="0"/>
        <w:jc w:val="both"/>
      </w:pPr>
      <w:r>
        <w:rPr>
          <w:rFonts w:ascii="Times New Roman"/>
          <w:b w:val="false"/>
          <w:i w:val="false"/>
          <w:color w:val="000000"/>
          <w:sz w:val="28"/>
        </w:rPr>
        <w:t>
      5) көзделмеген шығыстар (Unexpected Losses – UL) - кепілдік беру жағдайының туындау ықтималдығының белгілі-бір деңгейімен пайда болатын, шығындардың болжамды мәнінен ауытқулар;</w:t>
      </w:r>
    </w:p>
    <w:p>
      <w:pPr>
        <w:spacing w:after="0"/>
        <w:ind w:left="0"/>
        <w:jc w:val="both"/>
      </w:pPr>
      <w:r>
        <w:rPr>
          <w:rFonts w:ascii="Times New Roman"/>
          <w:b w:val="false"/>
          <w:i w:val="false"/>
          <w:color w:val="000000"/>
          <w:sz w:val="28"/>
        </w:rPr>
        <w:t>
      6) көппәтерлі тұрғын үйдің құрылысын аяқтау кезінде қалпына келмейтін ресурстардың үлесі (Loss Given Default – LGD) – көппәтерлі тұрғын үйдің құрылысын аяқтау қорытындылары бойынша қалпына келмейтін шығындардың жиынтық сомасының үлесі;</w:t>
      </w:r>
    </w:p>
    <w:p>
      <w:pPr>
        <w:spacing w:after="0"/>
        <w:ind w:left="0"/>
        <w:jc w:val="both"/>
      </w:pPr>
      <w:r>
        <w:rPr>
          <w:rFonts w:ascii="Times New Roman"/>
          <w:b w:val="false"/>
          <w:i w:val="false"/>
          <w:color w:val="000000"/>
          <w:sz w:val="28"/>
        </w:rPr>
        <w:t xml:space="preserve">
      7) шығындардың/залалдардың жиынтық сомасы (Covered Losses - CL) – кепілдік беру жағдайы болған кезде көппәтерлі тұрғын үйдің құрылысын аяқтау барысында туындайтын болжамды және көзделмеген шығыстардың сомасы. </w:t>
      </w:r>
    </w:p>
    <w:bookmarkStart w:name="z40" w:id="14"/>
    <w:p>
      <w:pPr>
        <w:spacing w:after="0"/>
        <w:ind w:left="0"/>
        <w:jc w:val="left"/>
      </w:pPr>
      <w:r>
        <w:rPr>
          <w:rFonts w:ascii="Times New Roman"/>
          <w:b/>
          <w:i w:val="false"/>
          <w:color w:val="000000"/>
        </w:rPr>
        <w:t xml:space="preserve"> 2-тарау. Кепілдік беру жағдайларын реттеуге арналған резервтің мөлшерін есептеу және айқындау тәртібі</w:t>
      </w:r>
    </w:p>
    <w:bookmarkEnd w:id="14"/>
    <w:bookmarkStart w:name="z41" w:id="15"/>
    <w:p>
      <w:pPr>
        <w:spacing w:after="0"/>
        <w:ind w:left="0"/>
        <w:jc w:val="both"/>
      </w:pPr>
      <w:r>
        <w:rPr>
          <w:rFonts w:ascii="Times New Roman"/>
          <w:b w:val="false"/>
          <w:i w:val="false"/>
          <w:color w:val="000000"/>
          <w:sz w:val="28"/>
        </w:rPr>
        <w:t>
      4. Кепілдік жағдайларды реттеуге арналған резерв мөлшерін модельдеу шығындардың/шығындардың жиынтық сомасын (күтілетін және күтілмеген шығындардың/шығындардың сомасы болып табылатын) белгілеуді талап етеді:</w:t>
      </w:r>
    </w:p>
    <w:bookmarkEnd w:id="15"/>
    <w:p>
      <w:pPr>
        <w:spacing w:after="0"/>
        <w:ind w:left="0"/>
        <w:jc w:val="both"/>
      </w:pPr>
      <w:r>
        <w:rPr>
          <w:rFonts w:ascii="Times New Roman"/>
          <w:b w:val="false"/>
          <w:i w:val="false"/>
          <w:color w:val="000000"/>
          <w:sz w:val="28"/>
        </w:rPr>
        <w:t>
      CL = EL + UL (1)</w:t>
      </w:r>
    </w:p>
    <w:p>
      <w:pPr>
        <w:spacing w:after="0"/>
        <w:ind w:left="0"/>
        <w:jc w:val="both"/>
      </w:pPr>
      <w:r>
        <w:rPr>
          <w:rFonts w:ascii="Times New Roman"/>
          <w:b w:val="false"/>
          <w:i w:val="false"/>
          <w:color w:val="000000"/>
          <w:sz w:val="28"/>
        </w:rPr>
        <w:t>
      бұл ретте, күтілетін шығындар/залалдар (EL) мына формула бойынша есептеледі:</w:t>
      </w:r>
    </w:p>
    <w:p>
      <w:pPr>
        <w:spacing w:after="0"/>
        <w:ind w:left="0"/>
        <w:jc w:val="both"/>
      </w:pPr>
      <w:r>
        <w:rPr>
          <w:rFonts w:ascii="Times New Roman"/>
          <w:b w:val="false"/>
          <w:i w:val="false"/>
          <w:color w:val="000000"/>
          <w:sz w:val="28"/>
        </w:rPr>
        <w:t xml:space="preserve">
      EL = </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AD</w:t>
      </w:r>
      <w:r>
        <w:rPr>
          <w:rFonts w:ascii="Times New Roman"/>
          <w:b w:val="false"/>
          <w:i w:val="false"/>
          <w:color w:val="000000"/>
          <w:vertAlign w:val="subscript"/>
        </w:rPr>
        <w:t>i</w:t>
      </w:r>
      <w:r>
        <w:rPr>
          <w:rFonts w:ascii="Times New Roman"/>
          <w:b w:val="false"/>
          <w:i w:val="false"/>
          <w:color w:val="000000"/>
          <w:sz w:val="28"/>
        </w:rPr>
        <w:t xml:space="preserve"> * PD</w:t>
      </w:r>
      <w:r>
        <w:rPr>
          <w:rFonts w:ascii="Times New Roman"/>
          <w:b w:val="false"/>
          <w:i w:val="false"/>
          <w:color w:val="000000"/>
          <w:vertAlign w:val="subscript"/>
        </w:rPr>
        <w:t>i</w:t>
      </w:r>
      <w:r>
        <w:rPr>
          <w:rFonts w:ascii="Times New Roman"/>
          <w:b w:val="false"/>
          <w:i w:val="false"/>
          <w:color w:val="000000"/>
          <w:sz w:val="28"/>
        </w:rPr>
        <w:t xml:space="preserve"> * LGD</w:t>
      </w:r>
      <w:r>
        <w:rPr>
          <w:rFonts w:ascii="Times New Roman"/>
          <w:b w:val="false"/>
          <w:i w:val="false"/>
          <w:color w:val="000000"/>
          <w:vertAlign w:val="subscript"/>
        </w:rPr>
        <w:t>i</w:t>
      </w: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көзделмеген шығындарды/залалдарды (UL) есептеу тәртібі осы Әдістеменің 6-тармағында келтірілген.</w:t>
      </w:r>
    </w:p>
    <w:p>
      <w:pPr>
        <w:spacing w:after="0"/>
        <w:ind w:left="0"/>
        <w:jc w:val="both"/>
      </w:pPr>
      <w:r>
        <w:rPr>
          <w:rFonts w:ascii="Times New Roman"/>
          <w:b w:val="false"/>
          <w:i w:val="false"/>
          <w:color w:val="000000"/>
          <w:sz w:val="28"/>
        </w:rPr>
        <w:t>
      Жоғарыда көрсетілген параметрлерді есептеу нәтижесі бойынша кепілдік беру жағдайларын реттеуге арналған бірыңғай оператор резервінің нысаналы деңгейі айқындалады:</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622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22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5. Күтілетін шығындарды есептеу үшін құрамдастарды айқындау:</w:t>
      </w:r>
    </w:p>
    <w:bookmarkEnd w:id="16"/>
    <w:p>
      <w:pPr>
        <w:spacing w:after="0"/>
        <w:ind w:left="0"/>
        <w:jc w:val="both"/>
      </w:pPr>
      <w:r>
        <w:rPr>
          <w:rFonts w:ascii="Times New Roman"/>
          <w:b w:val="false"/>
          <w:i w:val="false"/>
          <w:color w:val="000000"/>
          <w:sz w:val="28"/>
        </w:rPr>
        <w:t>
      1) уәкілетті компанияның/құрылыс салушының дефолтының ықтималдығын бағалау (PD).</w:t>
      </w:r>
    </w:p>
    <w:p>
      <w:pPr>
        <w:spacing w:after="0"/>
        <w:ind w:left="0"/>
        <w:jc w:val="both"/>
      </w:pPr>
      <w:r>
        <w:rPr>
          <w:rFonts w:ascii="Times New Roman"/>
          <w:b w:val="false"/>
          <w:i w:val="false"/>
          <w:color w:val="000000"/>
          <w:sz w:val="28"/>
        </w:rPr>
        <w:t xml:space="preserve">
      Дефолт ықтималдығын айқындау үшін құрылыс салушыға берілген рейтинг қолданылады. Құрылыс салушының рейтингін анықтау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 бұл ретте тәуекел деңгейін анықтау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құқытқы актілерді мемлекеттік тіркеу тізілімінде № 14190 болып тіркелген) кепілдік беру жарналарының көлемін анықтау әдістемесіне сәйкес жүзеге асырылады;</w:t>
      </w:r>
    </w:p>
    <w:p>
      <w:pPr>
        <w:spacing w:after="0"/>
        <w:ind w:left="0"/>
        <w:jc w:val="both"/>
      </w:pPr>
      <w:r>
        <w:rPr>
          <w:rFonts w:ascii="Times New Roman"/>
          <w:b w:val="false"/>
          <w:i w:val="false"/>
          <w:color w:val="000000"/>
          <w:sz w:val="28"/>
        </w:rPr>
        <w:t>
      2) Қалпына келмейтін ресурстардың үлесін бағалау (LGD).</w:t>
      </w:r>
    </w:p>
    <w:p>
      <w:pPr>
        <w:spacing w:after="0"/>
        <w:ind w:left="0"/>
        <w:jc w:val="both"/>
      </w:pPr>
      <w:r>
        <w:rPr>
          <w:rFonts w:ascii="Times New Roman"/>
          <w:b w:val="false"/>
          <w:i w:val="false"/>
          <w:color w:val="000000"/>
          <w:sz w:val="28"/>
        </w:rPr>
        <w:t>
      Бірыңғай оператор алдында міндеттемелердің орындалуын қамтамасыз ету ретінде құрылыс салушының уәкілетті компаниядағы қатысу үлесін кепілге беру және жер учаскесін (оған құқықтарын) кепілге беру болып табылатынын ескере отырып, кепілмен қамтамасыз етілген міндеттемелер бойынша нақты өтеудің сомасы талаптар сомасының 50-75%-ын құрауы мүмкін. Тиісінше, қалпына келмейтін ресурстардың үлесі алғашқы кезеңде 25%-50% деңгейінде қабылданады.</w:t>
      </w:r>
    </w:p>
    <w:p>
      <w:pPr>
        <w:spacing w:after="0"/>
        <w:ind w:left="0"/>
        <w:jc w:val="both"/>
      </w:pPr>
      <w:r>
        <w:rPr>
          <w:rFonts w:ascii="Times New Roman"/>
          <w:b w:val="false"/>
          <w:i w:val="false"/>
          <w:color w:val="000000"/>
          <w:sz w:val="28"/>
        </w:rPr>
        <w:t>
      Қалпына келмейтін ресурстардың үлесін бағалау ресурстарды қалпына келтіру бойынша статистикалық деректердің жинақталуы шамасына қарай қайта қаралады.</w:t>
      </w:r>
    </w:p>
    <w:bookmarkStart w:name="z43" w:id="17"/>
    <w:p>
      <w:pPr>
        <w:spacing w:after="0"/>
        <w:ind w:left="0"/>
        <w:jc w:val="both"/>
      </w:pPr>
      <w:r>
        <w:rPr>
          <w:rFonts w:ascii="Times New Roman"/>
          <w:b w:val="false"/>
          <w:i w:val="false"/>
          <w:color w:val="000000"/>
          <w:sz w:val="28"/>
        </w:rPr>
        <w:t>
      6. Көзделмеген шығындарды/залалдарды Монте-Карло әдісінің көмегімен мынадай тәртіпте айқындау:</w:t>
      </w:r>
    </w:p>
    <w:bookmarkEnd w:id="17"/>
    <w:p>
      <w:pPr>
        <w:spacing w:after="0"/>
        <w:ind w:left="0"/>
        <w:jc w:val="both"/>
      </w:pPr>
      <w:r>
        <w:rPr>
          <w:rFonts w:ascii="Times New Roman"/>
          <w:b w:val="false"/>
          <w:i w:val="false"/>
          <w:color w:val="000000"/>
          <w:sz w:val="28"/>
        </w:rPr>
        <w:t>
      1) Бастапқы деректерді айқындау:</w:t>
      </w:r>
    </w:p>
    <w:p>
      <w:pPr>
        <w:spacing w:after="0"/>
        <w:ind w:left="0"/>
        <w:jc w:val="both"/>
      </w:pPr>
      <w:r>
        <w:rPr>
          <w:rFonts w:ascii="Times New Roman"/>
          <w:b w:val="false"/>
          <w:i w:val="false"/>
          <w:color w:val="000000"/>
          <w:sz w:val="28"/>
        </w:rPr>
        <w:t>
      N - есеп беру күніне Бірыңғай оператордың портфеліндегі қатысушылардың (уәкілетті компаниялардың) саны;</w:t>
      </w:r>
    </w:p>
    <w:p>
      <w:pPr>
        <w:spacing w:after="0"/>
        <w:ind w:left="0"/>
        <w:jc w:val="both"/>
      </w:pPr>
      <w:r>
        <w:rPr>
          <w:rFonts w:ascii="Times New Roman"/>
          <w:b w:val="false"/>
          <w:i w:val="false"/>
          <w:color w:val="000000"/>
          <w:sz w:val="28"/>
        </w:rPr>
        <w:t>
      Pj - j-қатысушының дефолт ықтималдығы;</w:t>
      </w:r>
    </w:p>
    <w:p>
      <w:pPr>
        <w:spacing w:after="0"/>
        <w:ind w:left="0"/>
        <w:jc w:val="both"/>
      </w:pPr>
      <w:r>
        <w:rPr>
          <w:rFonts w:ascii="Times New Roman"/>
          <w:b w:val="false"/>
          <w:i w:val="false"/>
          <w:color w:val="000000"/>
          <w:sz w:val="28"/>
        </w:rPr>
        <w:t>
      Sj – қаралып жатқан уақыттан тыс кезеңдегі j-қатысушының кепілдік міндеттемесінің сомасы;</w:t>
      </w:r>
    </w:p>
    <w:p>
      <w:pPr>
        <w:spacing w:after="0"/>
        <w:ind w:left="0"/>
        <w:jc w:val="both"/>
      </w:pPr>
      <w:r>
        <w:rPr>
          <w:rFonts w:ascii="Times New Roman"/>
          <w:b w:val="false"/>
          <w:i w:val="false"/>
          <w:color w:val="000000"/>
          <w:sz w:val="28"/>
        </w:rPr>
        <w:t>
      Lkj – k-сынағына j-қатысушының дефолт жағдайында Бірыңғай оператордың көзделмеген шығындары/залалдарының мөлшері;</w:t>
      </w:r>
    </w:p>
    <w:p>
      <w:pPr>
        <w:spacing w:after="0"/>
        <w:ind w:left="0"/>
        <w:jc w:val="both"/>
      </w:pPr>
      <w:r>
        <w:rPr>
          <w:rFonts w:ascii="Times New Roman"/>
          <w:b w:val="false"/>
          <w:i w:val="false"/>
          <w:color w:val="000000"/>
          <w:sz w:val="28"/>
        </w:rPr>
        <w:t>
      qj – әр қатысушы бойынша өтеу сомасының қалпына келмейтін бөлігіндегі үлесі.</w:t>
      </w:r>
    </w:p>
    <w:p>
      <w:pPr>
        <w:spacing w:after="0"/>
        <w:ind w:left="0"/>
        <w:jc w:val="both"/>
      </w:pPr>
      <w:r>
        <w:rPr>
          <w:rFonts w:ascii="Times New Roman"/>
          <w:b w:val="false"/>
          <w:i w:val="false"/>
          <w:color w:val="000000"/>
          <w:sz w:val="28"/>
        </w:rPr>
        <w:t xml:space="preserve">
      2) Әр j қатысушы үшін теңдей үлестірілген 0-ден 1-ге дейінгі кездейсоқ шамалар генерацияланады: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 ... N,</w:t>
      </w:r>
    </w:p>
    <w:p>
      <w:pPr>
        <w:spacing w:after="0"/>
        <w:ind w:left="0"/>
        <w:jc w:val="both"/>
      </w:pPr>
      <w:r>
        <w:rPr>
          <w:rFonts w:ascii="Times New Roman"/>
          <w:b w:val="false"/>
          <w:i w:val="false"/>
          <w:color w:val="000000"/>
          <w:sz w:val="28"/>
        </w:rPr>
        <w:t>
      мұнда k – сынақтар саны.</w:t>
      </w:r>
    </w:p>
    <w:p>
      <w:pPr>
        <w:spacing w:after="0"/>
        <w:ind w:left="0"/>
        <w:jc w:val="both"/>
      </w:pPr>
      <w:r>
        <w:rPr>
          <w:rFonts w:ascii="Times New Roman"/>
          <w:b w:val="false"/>
          <w:i w:val="false"/>
          <w:color w:val="000000"/>
          <w:sz w:val="28"/>
        </w:rPr>
        <w:t xml:space="preserve">
      3) Әр қатысушының дефолт оқиғасының туындау шарттарының орындалуына тексеріс жүргізіледі. </w:t>
      </w:r>
    </w:p>
    <w:p>
      <w:pPr>
        <w:spacing w:after="0"/>
        <w:ind w:left="0"/>
        <w:jc w:val="both"/>
      </w:pPr>
      <w:r>
        <w:rPr>
          <w:rFonts w:ascii="Times New Roman"/>
          <w:b w:val="false"/>
          <w:i w:val="false"/>
          <w:color w:val="000000"/>
          <w:sz w:val="28"/>
        </w:rPr>
        <w:t>
      4) Үлестіру функциясы негізінде осы сынақ үшін әр қатысушы Бірыңғай оператордың көзделмеген шығындарының/залалдарының мөлшерлері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89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Рәсім (2-4) тармақшалар) k=10 000 немесе одан көп рет қайталанады.</w:t>
      </w:r>
    </w:p>
    <w:p>
      <w:pPr>
        <w:spacing w:after="0"/>
        <w:ind w:left="0"/>
        <w:jc w:val="both"/>
      </w:pPr>
      <w:r>
        <w:rPr>
          <w:rFonts w:ascii="Times New Roman"/>
          <w:b w:val="false"/>
          <w:i w:val="false"/>
          <w:color w:val="000000"/>
          <w:sz w:val="28"/>
        </w:rPr>
        <w:t>
      6) Әр қатысушы үшін Бірыңғай оператордың қорының көзделмеген шығындары/залалдарының сомасы барлық сынақтардың Lj көзделмеген шығындарының орташа мәні ретінде айқындалады.</w:t>
      </w:r>
    </w:p>
    <w:p>
      <w:pPr>
        <w:spacing w:after="0"/>
        <w:ind w:left="0"/>
        <w:jc w:val="both"/>
      </w:pPr>
      <w:r>
        <w:rPr>
          <w:rFonts w:ascii="Times New Roman"/>
          <w:b w:val="false"/>
          <w:i w:val="false"/>
          <w:color w:val="000000"/>
          <w:sz w:val="28"/>
        </w:rPr>
        <w:t>
      7) Бірыңғай оператордың көзделмеген шығындары/залалдарының жиынтық сомасы портфельдегі барлық қатысушылар үшін барлық көзделмеген шығындар/залалдардың сомасы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7. Болжамды және көзделмеген шығындар/залалдарды анықтаған соң, Бірыңғай оператор өзінің шығындарының/залалдарының жиынтық сомасын, нысаналы деңгейін және кепілдік беру жағдайын реттеуге арналған резерв мөлшерін осы Әдістеменің (1) және (3) формулаларына сәйкес есептейді.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жағдайларын</w:t>
            </w:r>
            <w:r>
              <w:br/>
            </w:r>
            <w:r>
              <w:rPr>
                <w:rFonts w:ascii="Times New Roman"/>
                <w:b w:val="false"/>
                <w:i w:val="false"/>
                <w:color w:val="000000"/>
                <w:sz w:val="20"/>
              </w:rPr>
              <w:t>реттеуге арналған резервті</w:t>
            </w:r>
            <w:r>
              <w:br/>
            </w:r>
            <w:r>
              <w:rPr>
                <w:rFonts w:ascii="Times New Roman"/>
                <w:b w:val="false"/>
                <w:i w:val="false"/>
                <w:color w:val="000000"/>
                <w:sz w:val="20"/>
              </w:rPr>
              <w:t>есептеу және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Құрылыс салушының рейтингісін айқындау</w:t>
      </w:r>
    </w:p>
    <w:p>
      <w:pPr>
        <w:spacing w:after="0"/>
        <w:ind w:left="0"/>
        <w:jc w:val="both"/>
      </w:pPr>
      <w:r>
        <w:rPr>
          <w:rFonts w:ascii="Times New Roman"/>
          <w:b w:val="false"/>
          <w:i w:val="false"/>
          <w:color w:val="ff0000"/>
          <w:sz w:val="28"/>
        </w:rPr>
        <w:t xml:space="preserve">
      Ескерту. Әдістеме қосымшамен толықтырылды – ҚР Инвестициялар және даму министрінің 21.08.2017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p>
    <w:p>
      <w:pPr>
        <w:spacing w:after="0"/>
        <w:ind w:left="0"/>
        <w:jc w:val="both"/>
      </w:pPr>
      <w:r>
        <w:rPr>
          <w:rFonts w:ascii="Times New Roman"/>
          <w:b w:val="false"/>
          <w:i w:val="false"/>
          <w:color w:val="000000"/>
          <w:sz w:val="28"/>
        </w:rPr>
        <w:t xml:space="preserve">
      Құрылыс салушының рейтингісін айқындау үшін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14190 болып тіркелген) Кепілдік жарнаның мөлшерін айқындау әдістемесімен көзделген көрсеткіштерге және тәуекелдер факторына баға беруге негізделген көп факторлы үлгіге сәйкес балдардың саны есептеледі.</w:t>
      </w:r>
    </w:p>
    <w:p>
      <w:pPr>
        <w:spacing w:after="0"/>
        <w:ind w:left="0"/>
        <w:jc w:val="both"/>
      </w:pPr>
      <w:r>
        <w:rPr>
          <w:rFonts w:ascii="Times New Roman"/>
          <w:b w:val="false"/>
          <w:i w:val="false"/>
          <w:color w:val="000000"/>
          <w:sz w:val="28"/>
        </w:rPr>
        <w:t>
      Балл санына байланысты құрылыс салушыға рейтинг және тиісті PD мәні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210"/>
        <w:gridCol w:w="5894"/>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атауы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r>
              <w:br/>
            </w:r>
            <w:r>
              <w:rPr>
                <w:rFonts w:ascii="Times New Roman"/>
                <w:b w:val="false"/>
                <w:i w:val="false"/>
                <w:color w:val="000000"/>
                <w:sz w:val="20"/>
              </w:rPr>
              <w:t>
99 балл</w:t>
            </w:r>
            <w:r>
              <w:br/>
            </w:r>
            <w:r>
              <w:rPr>
                <w:rFonts w:ascii="Times New Roman"/>
                <w:b w:val="false"/>
                <w:i w:val="false"/>
                <w:color w:val="000000"/>
                <w:sz w:val="20"/>
              </w:rPr>
              <w:t>
98 балл</w:t>
            </w:r>
            <w:r>
              <w:br/>
            </w:r>
            <w:r>
              <w:rPr>
                <w:rFonts w:ascii="Times New Roman"/>
                <w:b w:val="false"/>
                <w:i w:val="false"/>
                <w:color w:val="000000"/>
                <w:sz w:val="20"/>
              </w:rPr>
              <w:t>
97 балл</w:t>
            </w:r>
            <w:r>
              <w:br/>
            </w:r>
            <w:r>
              <w:rPr>
                <w:rFonts w:ascii="Times New Roman"/>
                <w:b w:val="false"/>
                <w:i w:val="false"/>
                <w:color w:val="000000"/>
                <w:sz w:val="20"/>
              </w:rPr>
              <w:t>
96 балл</w:t>
            </w:r>
            <w:r>
              <w:br/>
            </w:r>
            <w:r>
              <w:rPr>
                <w:rFonts w:ascii="Times New Roman"/>
                <w:b w:val="false"/>
                <w:i w:val="false"/>
                <w:color w:val="000000"/>
                <w:sz w:val="20"/>
              </w:rPr>
              <w:t>
95 балл</w:t>
            </w:r>
            <w:r>
              <w:br/>
            </w:r>
            <w:r>
              <w:rPr>
                <w:rFonts w:ascii="Times New Roman"/>
                <w:b w:val="false"/>
                <w:i w:val="false"/>
                <w:color w:val="000000"/>
                <w:sz w:val="20"/>
              </w:rPr>
              <w:t>
94 балл</w:t>
            </w:r>
            <w:r>
              <w:br/>
            </w:r>
            <w:r>
              <w:rPr>
                <w:rFonts w:ascii="Times New Roman"/>
                <w:b w:val="false"/>
                <w:i w:val="false"/>
                <w:color w:val="000000"/>
                <w:sz w:val="20"/>
              </w:rPr>
              <w:t>
93 балл</w:t>
            </w:r>
            <w:r>
              <w:br/>
            </w:r>
            <w:r>
              <w:rPr>
                <w:rFonts w:ascii="Times New Roman"/>
                <w:b w:val="false"/>
                <w:i w:val="false"/>
                <w:color w:val="000000"/>
                <w:sz w:val="20"/>
              </w:rPr>
              <w:t>
92 балл</w:t>
            </w:r>
            <w:r>
              <w:br/>
            </w:r>
            <w:r>
              <w:rPr>
                <w:rFonts w:ascii="Times New Roman"/>
                <w:b w:val="false"/>
                <w:i w:val="false"/>
                <w:color w:val="000000"/>
                <w:sz w:val="20"/>
              </w:rPr>
              <w:t>
91 балл</w:t>
            </w:r>
            <w:r>
              <w:br/>
            </w:r>
            <w:r>
              <w:rPr>
                <w:rFonts w:ascii="Times New Roman"/>
                <w:b w:val="false"/>
                <w:i w:val="false"/>
                <w:color w:val="000000"/>
                <w:sz w:val="20"/>
              </w:rPr>
              <w:t>
90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r>
              <w:br/>
            </w:r>
            <w:r>
              <w:rPr>
                <w:rFonts w:ascii="Times New Roman"/>
                <w:b w:val="false"/>
                <w:i w:val="false"/>
                <w:color w:val="000000"/>
                <w:sz w:val="20"/>
              </w:rPr>
              <w:t>
2,5</w:t>
            </w:r>
            <w:r>
              <w:br/>
            </w:r>
            <w:r>
              <w:rPr>
                <w:rFonts w:ascii="Times New Roman"/>
                <w:b w:val="false"/>
                <w:i w:val="false"/>
                <w:color w:val="000000"/>
                <w:sz w:val="20"/>
              </w:rPr>
              <w:t>
2,6</w:t>
            </w:r>
            <w:r>
              <w:br/>
            </w:r>
            <w:r>
              <w:rPr>
                <w:rFonts w:ascii="Times New Roman"/>
                <w:b w:val="false"/>
                <w:i w:val="false"/>
                <w:color w:val="000000"/>
                <w:sz w:val="20"/>
              </w:rPr>
              <w:t>
2,7</w:t>
            </w:r>
            <w:r>
              <w:br/>
            </w:r>
            <w:r>
              <w:rPr>
                <w:rFonts w:ascii="Times New Roman"/>
                <w:b w:val="false"/>
                <w:i w:val="false"/>
                <w:color w:val="000000"/>
                <w:sz w:val="20"/>
              </w:rPr>
              <w:t>
2,8</w:t>
            </w:r>
            <w:r>
              <w:br/>
            </w:r>
            <w:r>
              <w:rPr>
                <w:rFonts w:ascii="Times New Roman"/>
                <w:b w:val="false"/>
                <w:i w:val="false"/>
                <w:color w:val="000000"/>
                <w:sz w:val="20"/>
              </w:rPr>
              <w:t>
2,9</w:t>
            </w:r>
            <w:r>
              <w:br/>
            </w:r>
            <w:r>
              <w:rPr>
                <w:rFonts w:ascii="Times New Roman"/>
                <w:b w:val="false"/>
                <w:i w:val="false"/>
                <w:color w:val="000000"/>
                <w:sz w:val="20"/>
              </w:rPr>
              <w:t>
3,0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балл</w:t>
            </w:r>
            <w:r>
              <w:br/>
            </w:r>
            <w:r>
              <w:rPr>
                <w:rFonts w:ascii="Times New Roman"/>
                <w:b w:val="false"/>
                <w:i w:val="false"/>
                <w:color w:val="000000"/>
                <w:sz w:val="20"/>
              </w:rPr>
              <w:t>
88 балл</w:t>
            </w:r>
            <w:r>
              <w:br/>
            </w:r>
            <w:r>
              <w:rPr>
                <w:rFonts w:ascii="Times New Roman"/>
                <w:b w:val="false"/>
                <w:i w:val="false"/>
                <w:color w:val="000000"/>
                <w:sz w:val="20"/>
              </w:rPr>
              <w:t>
87 балл</w:t>
            </w:r>
            <w:r>
              <w:br/>
            </w:r>
            <w:r>
              <w:rPr>
                <w:rFonts w:ascii="Times New Roman"/>
                <w:b w:val="false"/>
                <w:i w:val="false"/>
                <w:color w:val="000000"/>
                <w:sz w:val="20"/>
              </w:rPr>
              <w:t>
86 балл</w:t>
            </w:r>
            <w:r>
              <w:br/>
            </w:r>
            <w:r>
              <w:rPr>
                <w:rFonts w:ascii="Times New Roman"/>
                <w:b w:val="false"/>
                <w:i w:val="false"/>
                <w:color w:val="000000"/>
                <w:sz w:val="20"/>
              </w:rPr>
              <w:t>
85 балл</w:t>
            </w:r>
            <w:r>
              <w:br/>
            </w:r>
            <w:r>
              <w:rPr>
                <w:rFonts w:ascii="Times New Roman"/>
                <w:b w:val="false"/>
                <w:i w:val="false"/>
                <w:color w:val="000000"/>
                <w:sz w:val="20"/>
              </w:rPr>
              <w:t>
84 балл</w:t>
            </w:r>
            <w:r>
              <w:br/>
            </w:r>
            <w:r>
              <w:rPr>
                <w:rFonts w:ascii="Times New Roman"/>
                <w:b w:val="false"/>
                <w:i w:val="false"/>
                <w:color w:val="000000"/>
                <w:sz w:val="20"/>
              </w:rPr>
              <w:t>
83 балл</w:t>
            </w:r>
            <w:r>
              <w:br/>
            </w:r>
            <w:r>
              <w:rPr>
                <w:rFonts w:ascii="Times New Roman"/>
                <w:b w:val="false"/>
                <w:i w:val="false"/>
                <w:color w:val="000000"/>
                <w:sz w:val="20"/>
              </w:rPr>
              <w:t>
82 балл</w:t>
            </w:r>
            <w:r>
              <w:br/>
            </w:r>
            <w:r>
              <w:rPr>
                <w:rFonts w:ascii="Times New Roman"/>
                <w:b w:val="false"/>
                <w:i w:val="false"/>
                <w:color w:val="000000"/>
                <w:sz w:val="20"/>
              </w:rPr>
              <w:t>
81 балл</w:t>
            </w:r>
            <w:r>
              <w:br/>
            </w:r>
            <w:r>
              <w:rPr>
                <w:rFonts w:ascii="Times New Roman"/>
                <w:b w:val="false"/>
                <w:i w:val="false"/>
                <w:color w:val="000000"/>
                <w:sz w:val="20"/>
              </w:rPr>
              <w:t>
80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r>
              <w:br/>
            </w:r>
            <w:r>
              <w:rPr>
                <w:rFonts w:ascii="Times New Roman"/>
                <w:b w:val="false"/>
                <w:i w:val="false"/>
                <w:color w:val="000000"/>
                <w:sz w:val="20"/>
              </w:rPr>
              <w:t>
3,6</w:t>
            </w:r>
            <w:r>
              <w:br/>
            </w:r>
            <w:r>
              <w:rPr>
                <w:rFonts w:ascii="Times New Roman"/>
                <w:b w:val="false"/>
                <w:i w:val="false"/>
                <w:color w:val="000000"/>
                <w:sz w:val="20"/>
              </w:rPr>
              <w:t>
3,7</w:t>
            </w:r>
            <w:r>
              <w:br/>
            </w:r>
            <w:r>
              <w:rPr>
                <w:rFonts w:ascii="Times New Roman"/>
                <w:b w:val="false"/>
                <w:i w:val="false"/>
                <w:color w:val="000000"/>
                <w:sz w:val="20"/>
              </w:rPr>
              <w:t>
3,8</w:t>
            </w:r>
            <w:r>
              <w:br/>
            </w:r>
            <w:r>
              <w:rPr>
                <w:rFonts w:ascii="Times New Roman"/>
                <w:b w:val="false"/>
                <w:i w:val="false"/>
                <w:color w:val="000000"/>
                <w:sz w:val="20"/>
              </w:rPr>
              <w:t>
3,9</w:t>
            </w:r>
            <w:r>
              <w:br/>
            </w:r>
            <w:r>
              <w:rPr>
                <w:rFonts w:ascii="Times New Roman"/>
                <w:b w:val="false"/>
                <w:i w:val="false"/>
                <w:color w:val="000000"/>
                <w:sz w:val="20"/>
              </w:rPr>
              <w:t>
4,0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r>
              <w:br/>
            </w:r>
            <w:r>
              <w:rPr>
                <w:rFonts w:ascii="Times New Roman"/>
                <w:b w:val="false"/>
                <w:i w:val="false"/>
                <w:color w:val="000000"/>
                <w:sz w:val="20"/>
              </w:rPr>
              <w:t>
78 балл</w:t>
            </w:r>
            <w:r>
              <w:br/>
            </w:r>
            <w:r>
              <w:rPr>
                <w:rFonts w:ascii="Times New Roman"/>
                <w:b w:val="false"/>
                <w:i w:val="false"/>
                <w:color w:val="000000"/>
                <w:sz w:val="20"/>
              </w:rPr>
              <w:t>
77 балл</w:t>
            </w:r>
            <w:r>
              <w:br/>
            </w:r>
            <w:r>
              <w:rPr>
                <w:rFonts w:ascii="Times New Roman"/>
                <w:b w:val="false"/>
                <w:i w:val="false"/>
                <w:color w:val="000000"/>
                <w:sz w:val="20"/>
              </w:rPr>
              <w:t>
76 балл</w:t>
            </w:r>
            <w:r>
              <w:br/>
            </w:r>
            <w:r>
              <w:rPr>
                <w:rFonts w:ascii="Times New Roman"/>
                <w:b w:val="false"/>
                <w:i w:val="false"/>
                <w:color w:val="000000"/>
                <w:sz w:val="20"/>
              </w:rPr>
              <w:t>
75 балл</w:t>
            </w:r>
            <w:r>
              <w:br/>
            </w:r>
            <w:r>
              <w:rPr>
                <w:rFonts w:ascii="Times New Roman"/>
                <w:b w:val="false"/>
                <w:i w:val="false"/>
                <w:color w:val="000000"/>
                <w:sz w:val="20"/>
              </w:rPr>
              <w:t>
74 балл</w:t>
            </w:r>
            <w:r>
              <w:br/>
            </w:r>
            <w:r>
              <w:rPr>
                <w:rFonts w:ascii="Times New Roman"/>
                <w:b w:val="false"/>
                <w:i w:val="false"/>
                <w:color w:val="000000"/>
                <w:sz w:val="20"/>
              </w:rPr>
              <w:t>
73 балл</w:t>
            </w:r>
            <w:r>
              <w:br/>
            </w:r>
            <w:r>
              <w:rPr>
                <w:rFonts w:ascii="Times New Roman"/>
                <w:b w:val="false"/>
                <w:i w:val="false"/>
                <w:color w:val="000000"/>
                <w:sz w:val="20"/>
              </w:rPr>
              <w:t>
72 балл</w:t>
            </w:r>
            <w:r>
              <w:br/>
            </w:r>
            <w:r>
              <w:rPr>
                <w:rFonts w:ascii="Times New Roman"/>
                <w:b w:val="false"/>
                <w:i w:val="false"/>
                <w:color w:val="000000"/>
                <w:sz w:val="20"/>
              </w:rPr>
              <w:t>
71 балл</w:t>
            </w:r>
            <w:r>
              <w:br/>
            </w:r>
            <w:r>
              <w:rPr>
                <w:rFonts w:ascii="Times New Roman"/>
                <w:b w:val="false"/>
                <w:i w:val="false"/>
                <w:color w:val="000000"/>
                <w:sz w:val="20"/>
              </w:rPr>
              <w:t>
70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4,4</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4,8</w:t>
            </w:r>
            <w:r>
              <w:br/>
            </w:r>
            <w:r>
              <w:rPr>
                <w:rFonts w:ascii="Times New Roman"/>
                <w:b w:val="false"/>
                <w:i w:val="false"/>
                <w:color w:val="000000"/>
                <w:sz w:val="20"/>
              </w:rPr>
              <w:t>
4,9</w:t>
            </w:r>
            <w:r>
              <w:br/>
            </w:r>
            <w:r>
              <w:rPr>
                <w:rFonts w:ascii="Times New Roman"/>
                <w:b w:val="false"/>
                <w:i w:val="false"/>
                <w:color w:val="000000"/>
                <w:sz w:val="20"/>
              </w:rPr>
              <w:t>
5,0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балл</w:t>
            </w:r>
            <w:r>
              <w:br/>
            </w:r>
            <w:r>
              <w:rPr>
                <w:rFonts w:ascii="Times New Roman"/>
                <w:b w:val="false"/>
                <w:i w:val="false"/>
                <w:color w:val="000000"/>
                <w:sz w:val="20"/>
              </w:rPr>
              <w:t>
68 балл</w:t>
            </w:r>
            <w:r>
              <w:br/>
            </w:r>
            <w:r>
              <w:rPr>
                <w:rFonts w:ascii="Times New Roman"/>
                <w:b w:val="false"/>
                <w:i w:val="false"/>
                <w:color w:val="000000"/>
                <w:sz w:val="20"/>
              </w:rPr>
              <w:t>
67 балл</w:t>
            </w:r>
            <w:r>
              <w:br/>
            </w:r>
            <w:r>
              <w:rPr>
                <w:rFonts w:ascii="Times New Roman"/>
                <w:b w:val="false"/>
                <w:i w:val="false"/>
                <w:color w:val="000000"/>
                <w:sz w:val="20"/>
              </w:rPr>
              <w:t>
66 балл</w:t>
            </w:r>
            <w:r>
              <w:br/>
            </w:r>
            <w:r>
              <w:rPr>
                <w:rFonts w:ascii="Times New Roman"/>
                <w:b w:val="false"/>
                <w:i w:val="false"/>
                <w:color w:val="000000"/>
                <w:sz w:val="20"/>
              </w:rPr>
              <w:t>
65 балл</w:t>
            </w:r>
            <w:r>
              <w:br/>
            </w:r>
            <w:r>
              <w:rPr>
                <w:rFonts w:ascii="Times New Roman"/>
                <w:b w:val="false"/>
                <w:i w:val="false"/>
                <w:color w:val="000000"/>
                <w:sz w:val="20"/>
              </w:rPr>
              <w:t>
64 балл</w:t>
            </w:r>
            <w:r>
              <w:br/>
            </w:r>
            <w:r>
              <w:rPr>
                <w:rFonts w:ascii="Times New Roman"/>
                <w:b w:val="false"/>
                <w:i w:val="false"/>
                <w:color w:val="000000"/>
                <w:sz w:val="20"/>
              </w:rPr>
              <w:t>
63 балл</w:t>
            </w:r>
            <w:r>
              <w:br/>
            </w:r>
            <w:r>
              <w:rPr>
                <w:rFonts w:ascii="Times New Roman"/>
                <w:b w:val="false"/>
                <w:i w:val="false"/>
                <w:color w:val="000000"/>
                <w:sz w:val="20"/>
              </w:rPr>
              <w:t>
62 балл</w:t>
            </w:r>
            <w:r>
              <w:br/>
            </w:r>
            <w:r>
              <w:rPr>
                <w:rFonts w:ascii="Times New Roman"/>
                <w:b w:val="false"/>
                <w:i w:val="false"/>
                <w:color w:val="000000"/>
                <w:sz w:val="20"/>
              </w:rPr>
              <w:t>
61 балл</w:t>
            </w:r>
            <w:r>
              <w:br/>
            </w:r>
            <w:r>
              <w:rPr>
                <w:rFonts w:ascii="Times New Roman"/>
                <w:b w:val="false"/>
                <w:i w:val="false"/>
                <w:color w:val="000000"/>
                <w:sz w:val="20"/>
              </w:rPr>
              <w:t>
60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5,5</w:t>
            </w:r>
            <w:r>
              <w:br/>
            </w: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Құрылыс салушының рейтингісі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4"/>
        <w:gridCol w:w="2736"/>
      </w:tblGrid>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берілетін рейтинг</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балл және одан жоғары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 балл &lt;90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 балл &lt;80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 балл &lt;70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рейтингі (ерекше кредитке қабілеттілігі, үздік қаржылық жағдайы) – құрылыс салушы жобаны мерзімінде орындаудың жоғарғы мүмкіндігіне және қаржылық тұрақтылықтың жоғарғы деңгейіне ие.</w:t>
      </w:r>
    </w:p>
    <w:p>
      <w:pPr>
        <w:spacing w:after="0"/>
        <w:ind w:left="0"/>
        <w:jc w:val="both"/>
      </w:pPr>
      <w:r>
        <w:rPr>
          <w:rFonts w:ascii="Times New Roman"/>
          <w:b w:val="false"/>
          <w:i w:val="false"/>
          <w:color w:val="000000"/>
          <w:sz w:val="28"/>
        </w:rPr>
        <w:t>
      "B" рейтингі (кредитке қабілеттілігі мен қаржылық тұрақтылықтың жақсы деңгейі)– құрылыс салушы жалпы алғанда қаржылай тұрақты және жобаны мерзімінде орындаудың оңтайлы мүмкіндігіне және қаржылық тұрақтылықтың жақсы деңгейіне ие.</w:t>
      </w:r>
    </w:p>
    <w:p>
      <w:pPr>
        <w:spacing w:after="0"/>
        <w:ind w:left="0"/>
        <w:jc w:val="both"/>
      </w:pPr>
      <w:r>
        <w:rPr>
          <w:rFonts w:ascii="Times New Roman"/>
          <w:b w:val="false"/>
          <w:i w:val="false"/>
          <w:color w:val="000000"/>
          <w:sz w:val="28"/>
        </w:rPr>
        <w:t>
      "С" рейтингі (кредитке қабілеттілігі мен қаржылық тұрақтылықтың орташа деңгейі)– құрылыс салушы жобаны мерзімінде орындаудың қанағаттандырарлық мүмкіндігіне ие. Жекелеген қаржылық көрсеткіштері орта салалық мәндерден кейбір ауытқуларды көрсетеді, алайда жалпы алғанда қаржылық жағдайы мен төлем қабілеттілігі қанағаттандырарлық болып табылады.</w:t>
      </w:r>
    </w:p>
    <w:p>
      <w:pPr>
        <w:spacing w:after="0"/>
        <w:ind w:left="0"/>
        <w:jc w:val="both"/>
      </w:pPr>
      <w:r>
        <w:rPr>
          <w:rFonts w:ascii="Times New Roman"/>
          <w:b w:val="false"/>
          <w:i w:val="false"/>
          <w:color w:val="000000"/>
          <w:sz w:val="28"/>
        </w:rPr>
        <w:t>
      "D" рейтингі (кредитке қабілеттілігі мен қаржылық тұрақтылықтың деңгейі орташадан төмен) – құрылыс салушының жобаны мерзімінде орындауының мүмкіндігі жеткілікті деп саналады. Қаржы жағдайының нашарлау белгілері бар (төменгі төлем қабілеттілігі/нарық үлесінің тұрақты төмендеуі) немесе қаржылық жағдайға теріс әсер етуі мүмкін форс-мажорлық жағдайлардың болуы. Бұл компанияның нарық сұранысының ауытқуларына жеткілікті дәрежеде тұрақты емес болу ықтималдығы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