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de0a" w14:textId="f62d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беру туралы шарт жасасу үшін көппәтерлі тұрғын үй құрылысының жобасы бойынша құжаттарды қарау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30 қыркүйектегі № 432 бұйрығы. Қазақстан Республикасының Әділет министрлігінде 2016 жылы 7 қазанда № 14312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30.09.2020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Бұйрық 10.10.2016 ж. бастап қолданысқа енгізіледі</w:t>
      </w:r>
    </w:p>
    <w:bookmarkStart w:name="z1" w:id="0"/>
    <w:p>
      <w:pPr>
        <w:spacing w:after="0"/>
        <w:ind w:left="0"/>
        <w:jc w:val="both"/>
      </w:pPr>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Кепілдік беру туралы шартты жасасу үшін көппәтерлі тұрғын үй құрылысының жобасы бойынша құжаттарды қарау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30.09.2020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орналастыруды;</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4"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5"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432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Кепілдік беру туралы шартты жасасу үшін тұрғын үй көппәтерлі құрылысының жобасы бойынша құжаттарды қарау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30.09.2020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93" w:id="11"/>
    <w:p>
      <w:pPr>
        <w:spacing w:after="0"/>
        <w:ind w:left="0"/>
        <w:jc w:val="both"/>
      </w:pPr>
      <w:r>
        <w:rPr>
          <w:rFonts w:ascii="Times New Roman"/>
          <w:b w:val="false"/>
          <w:i w:val="false"/>
          <w:color w:val="000000"/>
          <w:sz w:val="28"/>
        </w:rPr>
        <w:t xml:space="preserve">
      1. Осы Кепілдік беру туралы шартты жасасу үшін көппәтерлі тұрғын үй құрылысының жобасы бойынша құжаттарды қарау қағидалары (бұдан әрі – Қағидалар)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әзірленді және Тұрғын үй құрылысының бірыңғай операторынан (бұдан әрі – Бірыңғай оператор) кепілдік алу тәсілімен тұрғын үй құрылысына үлестік қатысуды ұйымдастыру кезінде кепілдік беру туралы шартты жасасу үшін көппәтерлі тұрғын үй құрылысының жобасы бойынша құжаттарды қарау тәртібін регламенттейді.</w:t>
      </w:r>
    </w:p>
    <w:bookmarkEnd w:id="11"/>
    <w:bookmarkStart w:name="z94" w:id="12"/>
    <w:p>
      <w:pPr>
        <w:spacing w:after="0"/>
        <w:ind w:left="0"/>
        <w:jc w:val="both"/>
      </w:pPr>
      <w:r>
        <w:rPr>
          <w:rFonts w:ascii="Times New Roman"/>
          <w:b w:val="false"/>
          <w:i w:val="false"/>
          <w:color w:val="000000"/>
          <w:sz w:val="28"/>
        </w:rPr>
        <w:t xml:space="preserve">
      2. Бірыңғай оператордан кепілдік алу тәсілімен тұрғын үй құрылысына үлестік қатысуды ұйымдастыру кезінде Құрылыс салушы мен Уәкілетті компанияға қойылатын талаптар осы Заңның </w:t>
      </w:r>
      <w:r>
        <w:rPr>
          <w:rFonts w:ascii="Times New Roman"/>
          <w:b w:val="false"/>
          <w:i w:val="false"/>
          <w:color w:val="000000"/>
          <w:sz w:val="28"/>
        </w:rPr>
        <w:t>8-бабында</w:t>
      </w:r>
      <w:r>
        <w:rPr>
          <w:rFonts w:ascii="Times New Roman"/>
          <w:b w:val="false"/>
          <w:i w:val="false"/>
          <w:color w:val="000000"/>
          <w:sz w:val="28"/>
        </w:rPr>
        <w:t xml:space="preserve"> айқындалған.</w:t>
      </w:r>
    </w:p>
    <w:bookmarkEnd w:id="12"/>
    <w:bookmarkStart w:name="z95" w:id="13"/>
    <w:p>
      <w:pPr>
        <w:spacing w:after="0"/>
        <w:ind w:left="0"/>
        <w:jc w:val="left"/>
      </w:pPr>
      <w:r>
        <w:rPr>
          <w:rFonts w:ascii="Times New Roman"/>
          <w:b/>
          <w:i w:val="false"/>
          <w:color w:val="000000"/>
        </w:rPr>
        <w:t xml:space="preserve"> 2-тарау. Бірыңғай оператордың Құрылыс салушы мен Уәкілетті компанияның өтінімдерін қабылдауы және есепке алуы</w:t>
      </w:r>
    </w:p>
    <w:bookmarkEnd w:id="13"/>
    <w:bookmarkStart w:name="z96" w:id="14"/>
    <w:p>
      <w:pPr>
        <w:spacing w:after="0"/>
        <w:ind w:left="0"/>
        <w:jc w:val="both"/>
      </w:pPr>
      <w:r>
        <w:rPr>
          <w:rFonts w:ascii="Times New Roman"/>
          <w:b w:val="false"/>
          <w:i w:val="false"/>
          <w:color w:val="000000"/>
          <w:sz w:val="28"/>
        </w:rPr>
        <w:t xml:space="preserve">
      3. Құрылыс салушы мен Уәкілетті компаниядан құрылыс жобасы бойынша өтінімі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қабылданады.</w:t>
      </w:r>
    </w:p>
    <w:bookmarkEnd w:id="14"/>
    <w:bookmarkStart w:name="z97" w:id="15"/>
    <w:p>
      <w:pPr>
        <w:spacing w:after="0"/>
        <w:ind w:left="0"/>
        <w:jc w:val="both"/>
      </w:pPr>
      <w:r>
        <w:rPr>
          <w:rFonts w:ascii="Times New Roman"/>
          <w:b w:val="false"/>
          <w:i w:val="false"/>
          <w:color w:val="000000"/>
          <w:sz w:val="28"/>
        </w:rPr>
        <w:t xml:space="preserve">
      4. Бірыңғай оператордың өтінімдерді қабылдауы Бірыңғай оператордың Заңның 28-бабының </w:t>
      </w:r>
      <w:r>
        <w:rPr>
          <w:rFonts w:ascii="Times New Roman"/>
          <w:b w:val="false"/>
          <w:i w:val="false"/>
          <w:color w:val="000000"/>
          <w:sz w:val="28"/>
        </w:rPr>
        <w:t>7-тармақта</w:t>
      </w:r>
      <w:r>
        <w:rPr>
          <w:rFonts w:ascii="Times New Roman"/>
          <w:b w:val="false"/>
          <w:i w:val="false"/>
          <w:color w:val="000000"/>
          <w:sz w:val="28"/>
        </w:rPr>
        <w:t xml:space="preserve"> көзделген капитал жеткіліктілігі нормативінің шекті мәніне қол жеткізілген жағдайды қоспағанда, бірыңғай оператордың ақпараттық жүйесі арқылы тұрақты негізде жүзеге асырылады, бұл туралы бірыңғай оператордың интернет-ресурсында көрсетіледі.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28.12.2022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98" w:id="16"/>
    <w:p>
      <w:pPr>
        <w:spacing w:after="0"/>
        <w:ind w:left="0"/>
        <w:jc w:val="both"/>
      </w:pPr>
      <w:r>
        <w:rPr>
          <w:rFonts w:ascii="Times New Roman"/>
          <w:b w:val="false"/>
          <w:i w:val="false"/>
          <w:color w:val="000000"/>
          <w:sz w:val="28"/>
        </w:rPr>
        <w:t xml:space="preserve">
      5. Құрылыс салушы және Уәкілетті компания өтінімге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 тізбесін қоса береді. Бұл ретте құрылыс жобасын қаржыландыру жобасы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bookmarkEnd w:id="16"/>
    <w:p>
      <w:pPr>
        <w:spacing w:after="0"/>
        <w:ind w:left="0"/>
        <w:jc w:val="both"/>
      </w:pPr>
      <w:r>
        <w:rPr>
          <w:rFonts w:ascii="Times New Roman"/>
          <w:b w:val="false"/>
          <w:i w:val="false"/>
          <w:color w:val="000000"/>
          <w:sz w:val="28"/>
        </w:rPr>
        <w:t xml:space="preserve">
      Құрылыс салушы бір жыл ішінде жаңа құрылыс жобасымен қайта жүгінген кезде осы Ереженің </w:t>
      </w:r>
      <w:r>
        <w:rPr>
          <w:rFonts w:ascii="Times New Roman"/>
          <w:b w:val="false"/>
          <w:i w:val="false"/>
          <w:color w:val="000000"/>
          <w:sz w:val="28"/>
        </w:rPr>
        <w:t>2-қосымшасының</w:t>
      </w:r>
      <w:r>
        <w:rPr>
          <w:rFonts w:ascii="Times New Roman"/>
          <w:b w:val="false"/>
          <w:i w:val="false"/>
          <w:color w:val="000000"/>
          <w:sz w:val="28"/>
        </w:rPr>
        <w:t xml:space="preserve"> 1-тармағында, 2-тармағының 1) тармақшасында, 8-тармағының 1) тармақшасында және 9-тармағының 3) тармақшасында көрсетілген құжаттарды Бірыңғай операторға ұсыну талап етілмейді. Бұл талап Бірыңғай операторға қайта өтініш жасағанға дейін өзгерістер және (немесе) толықтырулар енгізілген құжаттарға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28.12.2022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99" w:id="17"/>
    <w:p>
      <w:pPr>
        <w:spacing w:after="0"/>
        <w:ind w:left="0"/>
        <w:jc w:val="both"/>
      </w:pPr>
      <w:r>
        <w:rPr>
          <w:rFonts w:ascii="Times New Roman"/>
          <w:b w:val="false"/>
          <w:i w:val="false"/>
          <w:color w:val="000000"/>
          <w:sz w:val="28"/>
        </w:rPr>
        <w:t>
      6. Өтінімді қарау мерзімі Құрылыс салушы мен Уәкілетті компания кепілдік беру шартын жасасу туралы өтініш берген күннен бастап он бес жұмыс күні болып есептеледі. Бірыңғай оператор ы қажетті құжаттармен бірге тиісті өтінімді тіркеген күннен кейінгі күн Құрылыс салушы мен Уәкілетті компанияның өтініш жасаған күні болып есептеледі.</w:t>
      </w:r>
    </w:p>
    <w:bookmarkEnd w:id="17"/>
    <w:p>
      <w:pPr>
        <w:spacing w:after="0"/>
        <w:ind w:left="0"/>
        <w:jc w:val="both"/>
      </w:pPr>
      <w:r>
        <w:rPr>
          <w:rFonts w:ascii="Times New Roman"/>
          <w:b w:val="false"/>
          <w:i w:val="false"/>
          <w:color w:val="000000"/>
          <w:sz w:val="28"/>
        </w:rPr>
        <w:t>
      Қаралатын өтінім бойынша ескертулер болған кезде, Бірыңғай оператор ескертулерді жою үшін бес жұмыс күнінен аспайтын мерзімді белгілей отырып, тиісті құжаттарды пысықтауға жібереді. Бұл ретте өтінімді қарау мерзімі тоқтатылады.</w:t>
      </w:r>
    </w:p>
    <w:bookmarkStart w:name="z100" w:id="18"/>
    <w:p>
      <w:pPr>
        <w:spacing w:after="0"/>
        <w:ind w:left="0"/>
        <w:jc w:val="left"/>
      </w:pPr>
      <w:r>
        <w:rPr>
          <w:rFonts w:ascii="Times New Roman"/>
          <w:b/>
          <w:i w:val="false"/>
          <w:color w:val="000000"/>
        </w:rPr>
        <w:t xml:space="preserve"> 3-тарау. Бірыңғай оператордан кепілдік алу тәсілімен тұрғын үй құрылысына үлестік қатысуды ұйымдастыру кезінде Құрылыс салушы мен Уәкілетті компанияның өтінімдерін қарау тәртібі</w:t>
      </w:r>
    </w:p>
    <w:bookmarkEnd w:id="18"/>
    <w:bookmarkStart w:name="z101" w:id="19"/>
    <w:p>
      <w:pPr>
        <w:spacing w:after="0"/>
        <w:ind w:left="0"/>
        <w:jc w:val="both"/>
      </w:pPr>
      <w:r>
        <w:rPr>
          <w:rFonts w:ascii="Times New Roman"/>
          <w:b w:val="false"/>
          <w:i w:val="false"/>
          <w:color w:val="000000"/>
          <w:sz w:val="28"/>
        </w:rPr>
        <w:t>
      7. Бірыңғай оператордың өтінімді қарауы:</w:t>
      </w:r>
    </w:p>
    <w:bookmarkEnd w:id="19"/>
    <w:p>
      <w:pPr>
        <w:spacing w:after="0"/>
        <w:ind w:left="0"/>
        <w:jc w:val="both"/>
      </w:pPr>
      <w:r>
        <w:rPr>
          <w:rFonts w:ascii="Times New Roman"/>
          <w:b w:val="false"/>
          <w:i w:val="false"/>
          <w:color w:val="000000"/>
          <w:sz w:val="28"/>
        </w:rPr>
        <w:t>
      1) 2-қосымшада көрсетілген құжаттардың тізбесіне сәйкес көппәтерлі тұрғын үй құрылысының жобасы бойынша ұсынылған құжаттардың толықтығын тексеру;</w:t>
      </w:r>
    </w:p>
    <w:p>
      <w:pPr>
        <w:spacing w:after="0"/>
        <w:ind w:left="0"/>
        <w:jc w:val="both"/>
      </w:pPr>
      <w:r>
        <w:rPr>
          <w:rFonts w:ascii="Times New Roman"/>
          <w:b w:val="false"/>
          <w:i w:val="false"/>
          <w:color w:val="000000"/>
          <w:sz w:val="28"/>
        </w:rPr>
        <w:t>
      2) өтінімді тіркеу және көппәтерлі тұрғын үй құрылысының жобасы бойынша ұсынылған құжаттарды талдау;</w:t>
      </w:r>
    </w:p>
    <w:p>
      <w:pPr>
        <w:spacing w:after="0"/>
        <w:ind w:left="0"/>
        <w:jc w:val="both"/>
      </w:pPr>
      <w:r>
        <w:rPr>
          <w:rFonts w:ascii="Times New Roman"/>
          <w:b w:val="false"/>
          <w:i w:val="false"/>
          <w:color w:val="000000"/>
          <w:sz w:val="28"/>
        </w:rPr>
        <w:t>
      3) кепілдік беру туралы шарт жасасу не жасасудан уәжді түрде бас тарту туралы шешім қабылдау кезеңдерін көздейді.</w:t>
      </w:r>
    </w:p>
    <w:bookmarkStart w:name="z102" w:id="20"/>
    <w:p>
      <w:pPr>
        <w:spacing w:after="0"/>
        <w:ind w:left="0"/>
        <w:jc w:val="both"/>
      </w:pPr>
      <w:r>
        <w:rPr>
          <w:rFonts w:ascii="Times New Roman"/>
          <w:b w:val="false"/>
          <w:i w:val="false"/>
          <w:color w:val="000000"/>
          <w:sz w:val="28"/>
        </w:rPr>
        <w:t>
      8. Бірыңғай оператордың кепілдік беру туралы шарт жасасу не жасасудан уәжді түрде бас тарту туралы шешімі ұсынылған құжаттарды талдау нәтижелеріне негізделеді.</w:t>
      </w:r>
    </w:p>
    <w:bookmarkEnd w:id="20"/>
    <w:bookmarkStart w:name="z103" w:id="21"/>
    <w:p>
      <w:pPr>
        <w:spacing w:after="0"/>
        <w:ind w:left="0"/>
        <w:jc w:val="both"/>
      </w:pPr>
      <w:r>
        <w:rPr>
          <w:rFonts w:ascii="Times New Roman"/>
          <w:b w:val="false"/>
          <w:i w:val="false"/>
          <w:color w:val="000000"/>
          <w:sz w:val="28"/>
        </w:rPr>
        <w:t xml:space="preserve">
      9. Көппәтерлі тұрғын үй құрылысының жобасы бойынша құжаттарды талдау қаржылық және заңдық бағалауды қамтиды. </w:t>
      </w:r>
    </w:p>
    <w:bookmarkEnd w:id="21"/>
    <w:bookmarkStart w:name="z104" w:id="22"/>
    <w:p>
      <w:pPr>
        <w:spacing w:after="0"/>
        <w:ind w:left="0"/>
        <w:jc w:val="both"/>
      </w:pPr>
      <w:r>
        <w:rPr>
          <w:rFonts w:ascii="Times New Roman"/>
          <w:b w:val="false"/>
          <w:i w:val="false"/>
          <w:color w:val="000000"/>
          <w:sz w:val="28"/>
        </w:rPr>
        <w:t>
      10. Қаржылық бағалау:</w:t>
      </w:r>
    </w:p>
    <w:bookmarkEnd w:id="22"/>
    <w:p>
      <w:pPr>
        <w:spacing w:after="0"/>
        <w:ind w:left="0"/>
        <w:jc w:val="both"/>
      </w:pPr>
      <w:r>
        <w:rPr>
          <w:rFonts w:ascii="Times New Roman"/>
          <w:b w:val="false"/>
          <w:i w:val="false"/>
          <w:color w:val="000000"/>
          <w:sz w:val="28"/>
        </w:rPr>
        <w:t>
      1) қаржылық есептілікті талдауды, Уәкілетті компанияның және Құрылыс салушының қаржылық жағдайын сипаттайтын негізгі көрсеткіштерді есептеуді;</w:t>
      </w:r>
    </w:p>
    <w:p>
      <w:pPr>
        <w:spacing w:after="0"/>
        <w:ind w:left="0"/>
        <w:jc w:val="both"/>
      </w:pPr>
      <w:r>
        <w:rPr>
          <w:rFonts w:ascii="Times New Roman"/>
          <w:b w:val="false"/>
          <w:i w:val="false"/>
          <w:color w:val="000000"/>
          <w:sz w:val="28"/>
        </w:rPr>
        <w:t>
      2) жобаны қаржыландыру көздерін талдауды;</w:t>
      </w:r>
    </w:p>
    <w:p>
      <w:pPr>
        <w:spacing w:after="0"/>
        <w:ind w:left="0"/>
        <w:jc w:val="both"/>
      </w:pPr>
      <w:r>
        <w:rPr>
          <w:rFonts w:ascii="Times New Roman"/>
          <w:b w:val="false"/>
          <w:i w:val="false"/>
          <w:color w:val="000000"/>
          <w:sz w:val="28"/>
        </w:rPr>
        <w:t>
      3) уәкілетті компанияның баға саясатының барабарлығын талдауды;</w:t>
      </w:r>
    </w:p>
    <w:p>
      <w:pPr>
        <w:spacing w:after="0"/>
        <w:ind w:left="0"/>
        <w:jc w:val="both"/>
      </w:pPr>
      <w:r>
        <w:rPr>
          <w:rFonts w:ascii="Times New Roman"/>
          <w:b w:val="false"/>
          <w:i w:val="false"/>
          <w:color w:val="000000"/>
          <w:sz w:val="28"/>
        </w:rPr>
        <w:t>
      4) сәулет, қала құрылысы және құрылыс саласындағы мемлекеттік нормативтік құжаттарға сәйкес құрылысы аяқталмаған объектідегі орындалған жұмыстарды салыстыруды көздейді.</w:t>
      </w:r>
    </w:p>
    <w:p>
      <w:pPr>
        <w:spacing w:after="0"/>
        <w:ind w:left="0"/>
        <w:jc w:val="both"/>
      </w:pPr>
      <w:r>
        <w:rPr>
          <w:rFonts w:ascii="Times New Roman"/>
          <w:b w:val="false"/>
          <w:i w:val="false"/>
          <w:color w:val="000000"/>
          <w:sz w:val="28"/>
        </w:rPr>
        <w:t>
      Жұмыстардың орындалған көлемдері өлшенгеннен және инжинирингтік компания зертханалық зерттеулерсіз монтаждалған конструкцияларды ақаулықтардың бар-жоғы тұрғысынан зерттегеннен кейін Актілер бойынша орындалған жұмыстарды объектіде іс жүзінде орындалған жұмыстармен салыстыру жүргізіледі;</w:t>
      </w:r>
    </w:p>
    <w:p>
      <w:pPr>
        <w:spacing w:after="0"/>
        <w:ind w:left="0"/>
        <w:jc w:val="both"/>
      </w:pPr>
      <w:r>
        <w:rPr>
          <w:rFonts w:ascii="Times New Roman"/>
          <w:b w:val="false"/>
          <w:i w:val="false"/>
          <w:color w:val="000000"/>
          <w:sz w:val="28"/>
        </w:rPr>
        <w:t>
      5) құрылысты аяқтау үшін қажетті жұмыстардың толықтығын бағалауды;</w:t>
      </w:r>
    </w:p>
    <w:p>
      <w:pPr>
        <w:spacing w:after="0"/>
        <w:ind w:left="0"/>
        <w:jc w:val="both"/>
      </w:pPr>
      <w:r>
        <w:rPr>
          <w:rFonts w:ascii="Times New Roman"/>
          <w:b w:val="false"/>
          <w:i w:val="false"/>
          <w:color w:val="000000"/>
          <w:sz w:val="28"/>
        </w:rPr>
        <w:t>
      6) құрылыс бюджетінің (сметасының): құрылыстың көлемі мен құнының негізділігін талдауды көздейді.</w:t>
      </w:r>
    </w:p>
    <w:bookmarkStart w:name="z272" w:id="23"/>
    <w:p>
      <w:pPr>
        <w:spacing w:after="0"/>
        <w:ind w:left="0"/>
        <w:jc w:val="both"/>
      </w:pPr>
      <w:r>
        <w:rPr>
          <w:rFonts w:ascii="Times New Roman"/>
          <w:b w:val="false"/>
          <w:i w:val="false"/>
          <w:color w:val="000000"/>
          <w:sz w:val="28"/>
        </w:rPr>
        <w:t>
      10-1. Осы Қағидаларға 4-қосымшада белгіленген тәуекел факторлары мен көрсеткіштерін есептеу үшін соңғы қаржылық жылдағы құрылыс салушының қаржылық есептілігіне (бухгалтерлік теңгерім, пайдалар мен шығындар туралы есеп, ақша қаражатының қозғалысы туралы есеп, жеке капиталындағы өзгерістер туралы есеп) талдау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Индустрия және инфрақұрылымдық даму министрінің м.а. 25.04.2023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5" w:id="24"/>
    <w:p>
      <w:pPr>
        <w:spacing w:after="0"/>
        <w:ind w:left="0"/>
        <w:jc w:val="both"/>
      </w:pPr>
      <w:r>
        <w:rPr>
          <w:rFonts w:ascii="Times New Roman"/>
          <w:b w:val="false"/>
          <w:i w:val="false"/>
          <w:color w:val="000000"/>
          <w:sz w:val="28"/>
        </w:rPr>
        <w:t>
      11. Заңдық бағалау және жоба бойынша құқықтық, беделділік тәуекелдердің болуын (болмауын) анықтау:</w:t>
      </w:r>
    </w:p>
    <w:bookmarkEnd w:id="24"/>
    <w:p>
      <w:pPr>
        <w:spacing w:after="0"/>
        <w:ind w:left="0"/>
        <w:jc w:val="both"/>
      </w:pPr>
      <w:r>
        <w:rPr>
          <w:rFonts w:ascii="Times New Roman"/>
          <w:b w:val="false"/>
          <w:i w:val="false"/>
          <w:color w:val="000000"/>
          <w:sz w:val="28"/>
        </w:rPr>
        <w:t>
      1) Құрылыс салушының, Уәкілетті компанияның құқық белгілейтін құжаттарын шолу;</w:t>
      </w:r>
    </w:p>
    <w:p>
      <w:pPr>
        <w:spacing w:after="0"/>
        <w:ind w:left="0"/>
        <w:jc w:val="both"/>
      </w:pPr>
      <w:r>
        <w:rPr>
          <w:rFonts w:ascii="Times New Roman"/>
          <w:b w:val="false"/>
          <w:i w:val="false"/>
          <w:color w:val="000000"/>
          <w:sz w:val="28"/>
        </w:rPr>
        <w:t>
      2) корпоративтік басқару туралы құжаттарды, алқалы басқару органдарының шешімдерін және Уәкілетті компанияның негізгі сенімхаттарын шолу;</w:t>
      </w:r>
    </w:p>
    <w:p>
      <w:pPr>
        <w:spacing w:after="0"/>
        <w:ind w:left="0"/>
        <w:jc w:val="both"/>
      </w:pPr>
      <w:r>
        <w:rPr>
          <w:rFonts w:ascii="Times New Roman"/>
          <w:b w:val="false"/>
          <w:i w:val="false"/>
          <w:color w:val="000000"/>
          <w:sz w:val="28"/>
        </w:rPr>
        <w:t xml:space="preserve">
      3) Уәкілетті компанияның осы Заңның </w:t>
      </w:r>
      <w:r>
        <w:rPr>
          <w:rFonts w:ascii="Times New Roman"/>
          <w:b w:val="false"/>
          <w:i w:val="false"/>
          <w:color w:val="000000"/>
          <w:sz w:val="28"/>
        </w:rPr>
        <w:t>35-бабына</w:t>
      </w:r>
      <w:r>
        <w:rPr>
          <w:rFonts w:ascii="Times New Roman"/>
          <w:b w:val="false"/>
          <w:i w:val="false"/>
          <w:color w:val="000000"/>
          <w:sz w:val="28"/>
        </w:rPr>
        <w:t xml:space="preserve"> сәйкес сенімгерлік басқаруға берілуі болжанып отырған мүлкіне құқық белгілейтін құжаттарды талдау;</w:t>
      </w:r>
    </w:p>
    <w:p>
      <w:pPr>
        <w:spacing w:after="0"/>
        <w:ind w:left="0"/>
        <w:jc w:val="both"/>
      </w:pPr>
      <w:r>
        <w:rPr>
          <w:rFonts w:ascii="Times New Roman"/>
          <w:b w:val="false"/>
          <w:i w:val="false"/>
          <w:color w:val="000000"/>
          <w:sz w:val="28"/>
        </w:rPr>
        <w:t>
      4) Уәкілетті компанияның жарғылық капиталын қалыптастыру заңдылығын, қатысушылар (акционерлер) туралы мәліметтерді, Уәкілетті компанияның үлестес тұлғалары туралы мәліметтерді талдау;</w:t>
      </w:r>
    </w:p>
    <w:p>
      <w:pPr>
        <w:spacing w:after="0"/>
        <w:ind w:left="0"/>
        <w:jc w:val="both"/>
      </w:pPr>
      <w:r>
        <w:rPr>
          <w:rFonts w:ascii="Times New Roman"/>
          <w:b w:val="false"/>
          <w:i w:val="false"/>
          <w:color w:val="000000"/>
          <w:sz w:val="28"/>
        </w:rPr>
        <w:t>
      5) Уәкілетті компания мен мердігердің (бас мердігердің) қажетті рұқсат беру құжаттарының болуы;</w:t>
      </w:r>
    </w:p>
    <w:p>
      <w:pPr>
        <w:spacing w:after="0"/>
        <w:ind w:left="0"/>
        <w:jc w:val="both"/>
      </w:pPr>
      <w:r>
        <w:rPr>
          <w:rFonts w:ascii="Times New Roman"/>
          <w:b w:val="false"/>
          <w:i w:val="false"/>
          <w:color w:val="000000"/>
          <w:sz w:val="28"/>
        </w:rPr>
        <w:t>
      6) Осы Қағидалардың 11-1 тармағымен айқындалған ерекшеліктертерді ескере отырып, Уәкілетті компанияның мердігермен (бас мердігермен) жасасқан құрылыс мердігерлік шартының негізгі ережелерін талдау;</w:t>
      </w:r>
    </w:p>
    <w:p>
      <w:pPr>
        <w:spacing w:after="0"/>
        <w:ind w:left="0"/>
        <w:jc w:val="both"/>
      </w:pPr>
      <w:r>
        <w:rPr>
          <w:rFonts w:ascii="Times New Roman"/>
          <w:b w:val="false"/>
          <w:i w:val="false"/>
          <w:color w:val="000000"/>
          <w:sz w:val="28"/>
        </w:rPr>
        <w:t>
      7) құрылыс салушы мен уәкілетті компанияға қатысты мүліктік сипаттағы орындалмаған сот талқылауларының болуы немесе болмауы;</w:t>
      </w:r>
    </w:p>
    <w:p>
      <w:pPr>
        <w:spacing w:after="0"/>
        <w:ind w:left="0"/>
        <w:jc w:val="both"/>
      </w:pPr>
      <w:r>
        <w:rPr>
          <w:rFonts w:ascii="Times New Roman"/>
          <w:b w:val="false"/>
          <w:i w:val="false"/>
          <w:color w:val="000000"/>
          <w:sz w:val="28"/>
        </w:rPr>
        <w:t>
      8) ресми түрде танылған көздерден салықтар және бюджетке төленетін басқа да міндетті төлемдер бойынша берешектерінің болуы (не болмауы) туралы Уәкілетті компания, Құрылыс салушы туралы ақпаратты зерделеу арқылы жүргізіледі.</w:t>
      </w:r>
    </w:p>
    <w:p>
      <w:pPr>
        <w:spacing w:after="0"/>
        <w:ind w:left="0"/>
        <w:jc w:val="both"/>
      </w:pPr>
      <w:r>
        <w:rPr>
          <w:rFonts w:ascii="Times New Roman"/>
          <w:b w:val="false"/>
          <w:i w:val="false"/>
          <w:color w:val="000000"/>
          <w:sz w:val="28"/>
        </w:rPr>
        <w:t>
      11-1. Егер көппәтерлі тұрғын құрылысының жобасын арнайы экономикалық аймақтың қатысушысы – арнайы экономикалық аймақтың аумағында қызметтің басым түрлерін жүзеге асыратын және арнайы экономикалық аймақ (бұдан әрі – АЭА қатысушысы) қатысушыларының бірыңғай тізіліміне енгізілген заңды тұлға болып табылатын Уәкілетті компания жүзеге асыратын болса, онда құрылыс мердігерлік шарты Уәкілетті компанияның жобалау-сметалық құжаттамасымен қарастырылған материалдардың және (немесе) жабдықтардың бөлігін сатып алуынан тұруы мүмкін.</w:t>
      </w:r>
    </w:p>
    <w:bookmarkStart w:name="z106" w:id="25"/>
    <w:p>
      <w:pPr>
        <w:spacing w:after="0"/>
        <w:ind w:left="0"/>
        <w:jc w:val="both"/>
      </w:pPr>
      <w:r>
        <w:rPr>
          <w:rFonts w:ascii="Times New Roman"/>
          <w:b w:val="false"/>
          <w:i w:val="false"/>
          <w:color w:val="000000"/>
          <w:sz w:val="28"/>
        </w:rPr>
        <w:t>
      12. Өтінімді қарағаны үшін Қазақстан Республикасының бәсекелестікті қорғау саласындағы заңнама нормаларының талаптарына сәйкес Кепілдік беру қорының шешімімен бекітілетін мөлшерде Бірыңғай оператордың банктік шотына аудару жолымен біржолғы комиссия алынады. Өтінімді қарағаны үшін алынған комиссия қайтаруға жатпайды.</w:t>
      </w:r>
    </w:p>
    <w:bookmarkEnd w:id="25"/>
    <w:bookmarkStart w:name="z107" w:id="26"/>
    <w:p>
      <w:pPr>
        <w:spacing w:after="0"/>
        <w:ind w:left="0"/>
        <w:jc w:val="left"/>
      </w:pPr>
      <w:r>
        <w:rPr>
          <w:rFonts w:ascii="Times New Roman"/>
          <w:b/>
          <w:i w:val="false"/>
          <w:color w:val="000000"/>
        </w:rPr>
        <w:t xml:space="preserve"> 4-тарау. Кепілдік беру туралы шешім</w:t>
      </w:r>
    </w:p>
    <w:bookmarkEnd w:id="26"/>
    <w:bookmarkStart w:name="z108" w:id="27"/>
    <w:p>
      <w:pPr>
        <w:spacing w:after="0"/>
        <w:ind w:left="0"/>
        <w:jc w:val="both"/>
      </w:pPr>
      <w:r>
        <w:rPr>
          <w:rFonts w:ascii="Times New Roman"/>
          <w:b w:val="false"/>
          <w:i w:val="false"/>
          <w:color w:val="000000"/>
          <w:sz w:val="28"/>
        </w:rPr>
        <w:t>
      13. Бірыңғай оператор кепілдік беру туралы шарт жасасудан мынадай негіздер бойынша:</w:t>
      </w:r>
    </w:p>
    <w:bookmarkEnd w:id="27"/>
    <w:p>
      <w:pPr>
        <w:spacing w:after="0"/>
        <w:ind w:left="0"/>
        <w:jc w:val="both"/>
      </w:pPr>
      <w:r>
        <w:rPr>
          <w:rFonts w:ascii="Times New Roman"/>
          <w:b w:val="false"/>
          <w:i w:val="false"/>
          <w:color w:val="000000"/>
          <w:sz w:val="28"/>
        </w:rPr>
        <w:t>
      1) Құрылыс салушының, Уәкілетті компанияның Заңда белгіленген талаптарға сәйкес келмеуі;</w:t>
      </w:r>
    </w:p>
    <w:p>
      <w:pPr>
        <w:spacing w:after="0"/>
        <w:ind w:left="0"/>
        <w:jc w:val="both"/>
      </w:pPr>
      <w:r>
        <w:rPr>
          <w:rFonts w:ascii="Times New Roman"/>
          <w:b w:val="false"/>
          <w:i w:val="false"/>
          <w:color w:val="000000"/>
          <w:sz w:val="28"/>
        </w:rPr>
        <w:t>
      2) құрылыс салушы мен уәкілетті компанияның:</w:t>
      </w:r>
    </w:p>
    <w:p>
      <w:pPr>
        <w:spacing w:after="0"/>
        <w:ind w:left="0"/>
        <w:jc w:val="both"/>
      </w:pPr>
      <w:r>
        <w:rPr>
          <w:rFonts w:ascii="Times New Roman"/>
          <w:b w:val="false"/>
          <w:i w:val="false"/>
          <w:color w:val="000000"/>
          <w:sz w:val="28"/>
        </w:rPr>
        <w:t>
      уәкілетті компания, Бірыңғай оператор және инжинирингтік компания арасындағы үлестiк тұрғын үй құрылысында инжинирингтік қызметтерді көрсету туралы;</w:t>
      </w:r>
    </w:p>
    <w:p>
      <w:pPr>
        <w:spacing w:after="0"/>
        <w:ind w:left="0"/>
        <w:jc w:val="both"/>
      </w:pPr>
      <w:r>
        <w:rPr>
          <w:rFonts w:ascii="Times New Roman"/>
          <w:b w:val="false"/>
          <w:i w:val="false"/>
          <w:color w:val="000000"/>
          <w:sz w:val="28"/>
        </w:rPr>
        <w:t>
      Уәкілетті компания мен Бірыңғай оператор арасындағы аяқталмаған құрылыс объектісімен бірге жер учаскесінің кепіл;</w:t>
      </w:r>
    </w:p>
    <w:p>
      <w:pPr>
        <w:spacing w:after="0"/>
        <w:ind w:left="0"/>
        <w:jc w:val="both"/>
      </w:pPr>
      <w:r>
        <w:rPr>
          <w:rFonts w:ascii="Times New Roman"/>
          <w:b w:val="false"/>
          <w:i w:val="false"/>
          <w:color w:val="000000"/>
          <w:sz w:val="28"/>
        </w:rPr>
        <w:t>
      Құрылыс салушы мен Бірыңғай оператор арасындағы уәкілетті компанияның дауыс беретін акцияларының (жарғылық капиталдағы қатысу үлестерінің) кепіл;</w:t>
      </w:r>
    </w:p>
    <w:p>
      <w:pPr>
        <w:spacing w:after="0"/>
        <w:ind w:left="0"/>
        <w:jc w:val="both"/>
      </w:pPr>
      <w:r>
        <w:rPr>
          <w:rFonts w:ascii="Times New Roman"/>
          <w:b w:val="false"/>
          <w:i w:val="false"/>
          <w:color w:val="000000"/>
          <w:sz w:val="28"/>
        </w:rPr>
        <w:t>
      Құрылыс салушы мен Бірыңғай оператор арасындағы уәкілетті компанияның дауыс беретін акцияларын (жарғылық капиталдағы қатысу үлестерінің) сенімгерлік басқару шарттарды уақтылы жасаспауы;</w:t>
      </w:r>
    </w:p>
    <w:p>
      <w:pPr>
        <w:spacing w:after="0"/>
        <w:ind w:left="0"/>
        <w:jc w:val="both"/>
      </w:pPr>
      <w:r>
        <w:rPr>
          <w:rFonts w:ascii="Times New Roman"/>
          <w:b w:val="false"/>
          <w:i w:val="false"/>
          <w:color w:val="000000"/>
          <w:sz w:val="28"/>
        </w:rPr>
        <w:t>
      3) салықтар және бюджетке төленетін басқа да міндетті төлемдер бойынша өтінім беру күніне 6 еселенген айлық есептік көрсеткіштен көп мөлшерде өтелмеген берешегінің болуы;</w:t>
      </w:r>
    </w:p>
    <w:p>
      <w:pPr>
        <w:spacing w:after="0"/>
        <w:ind w:left="0"/>
        <w:jc w:val="both"/>
      </w:pPr>
      <w:r>
        <w:rPr>
          <w:rFonts w:ascii="Times New Roman"/>
          <w:b w:val="false"/>
          <w:i w:val="false"/>
          <w:color w:val="000000"/>
          <w:sz w:val="28"/>
        </w:rPr>
        <w:t>
      4) Құрылыс салушыға, Уәкілетті компанияға қатысты оңалту немесе банкроттық туралы іс жүргізуді қозғау туралы сот шешімдерінің болуы;</w:t>
      </w:r>
    </w:p>
    <w:p>
      <w:pPr>
        <w:spacing w:after="0"/>
        <w:ind w:left="0"/>
        <w:jc w:val="both"/>
      </w:pPr>
      <w:r>
        <w:rPr>
          <w:rFonts w:ascii="Times New Roman"/>
          <w:b w:val="false"/>
          <w:i w:val="false"/>
          <w:color w:val="000000"/>
          <w:sz w:val="28"/>
        </w:rPr>
        <w:t>
      5) Заңға сәйкес көппәтерлі тұрғын үй құрылысы жобасы бойынша құжаттарды тексеру нәтижелері бойынша бас тартады.</w:t>
      </w:r>
    </w:p>
    <w:bookmarkStart w:name="z109" w:id="28"/>
    <w:p>
      <w:pPr>
        <w:spacing w:after="0"/>
        <w:ind w:left="0"/>
        <w:jc w:val="both"/>
      </w:pPr>
      <w:r>
        <w:rPr>
          <w:rFonts w:ascii="Times New Roman"/>
          <w:b w:val="false"/>
          <w:i w:val="false"/>
          <w:color w:val="000000"/>
          <w:sz w:val="28"/>
        </w:rPr>
        <w:t xml:space="preserve">
      14. Кепілдік беру туралы оң шешім қабылданған жағдайда, Бірыңғай оператор жоба бойынша Заңның </w:t>
      </w:r>
      <w:r>
        <w:rPr>
          <w:rFonts w:ascii="Times New Roman"/>
          <w:b w:val="false"/>
          <w:i w:val="false"/>
          <w:color w:val="000000"/>
          <w:sz w:val="28"/>
        </w:rPr>
        <w:t>5-бабының</w:t>
      </w:r>
      <w:r>
        <w:rPr>
          <w:rFonts w:ascii="Times New Roman"/>
          <w:b w:val="false"/>
          <w:i w:val="false"/>
          <w:color w:val="000000"/>
          <w:sz w:val="28"/>
        </w:rPr>
        <w:t xml:space="preserve"> 8) тармақшасына сәйкес тұрғын үй құрылысына үлестік қатысу саласындағы уәкілетті орган бекіткен Кепілдік жарнаның мөлшерін айқындау әдістемесіне сәйкес кепілдік жарнаның мөлшерін бекітеді.</w:t>
      </w:r>
    </w:p>
    <w:bookmarkEnd w:id="28"/>
    <w:bookmarkStart w:name="z273" w:id="29"/>
    <w:p>
      <w:pPr>
        <w:spacing w:after="0"/>
        <w:ind w:left="0"/>
        <w:jc w:val="both"/>
      </w:pPr>
      <w:r>
        <w:rPr>
          <w:rFonts w:ascii="Times New Roman"/>
          <w:b w:val="false"/>
          <w:i w:val="false"/>
          <w:color w:val="000000"/>
          <w:sz w:val="28"/>
        </w:rPr>
        <w:t>
      14-1. Кепілдік жарна мөлшерлемесін қолдану үшін құрылыс салушы осы Қағидаларға 4-қосымшаға сәйкес бағаланатын тәуекелдер факторы бойынша 60 және одан жоғары балл жинауы қажет.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Индустрия және инфрақұрылымдық даму министрінің м.а. 25.04.2023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110" w:id="30"/>
    <w:p>
      <w:pPr>
        <w:spacing w:after="0"/>
        <w:ind w:left="0"/>
        <w:jc w:val="both"/>
      </w:pPr>
      <w:r>
        <w:rPr>
          <w:rFonts w:ascii="Times New Roman"/>
          <w:b w:val="false"/>
          <w:i w:val="false"/>
          <w:color w:val="000000"/>
          <w:sz w:val="28"/>
        </w:rPr>
        <w:t>
      15. Бірыңғай оператордың оң шешімі Кепілдік беру туралы шарт жасасу үшін негіздеме болып табылады.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 шартты</w:t>
            </w:r>
            <w:r>
              <w:br/>
            </w:r>
            <w:r>
              <w:rPr>
                <w:rFonts w:ascii="Times New Roman"/>
                <w:b w:val="false"/>
                <w:i w:val="false"/>
                <w:color w:val="000000"/>
                <w:sz w:val="20"/>
              </w:rPr>
              <w:t xml:space="preserve">жасасу үшін көппәтерлі тұрғын </w:t>
            </w:r>
            <w:r>
              <w:br/>
            </w:r>
            <w:r>
              <w:rPr>
                <w:rFonts w:ascii="Times New Roman"/>
                <w:b w:val="false"/>
                <w:i w:val="false"/>
                <w:color w:val="000000"/>
                <w:sz w:val="20"/>
              </w:rPr>
              <w:t xml:space="preserve">үй құрылысының жобасы </w:t>
            </w:r>
            <w:r>
              <w:br/>
            </w:r>
            <w:r>
              <w:rPr>
                <w:rFonts w:ascii="Times New Roman"/>
                <w:b w:val="false"/>
                <w:i w:val="false"/>
                <w:color w:val="000000"/>
                <w:sz w:val="20"/>
              </w:rPr>
              <w:t xml:space="preserve">бойынша құжаттарды қарау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 ___________</w:t>
            </w:r>
          </w:p>
          <w:p>
            <w:pPr>
              <w:spacing w:after="0"/>
              <w:ind w:left="0"/>
              <w:jc w:val="both"/>
            </w:pPr>
            <w:r>
              <w:rPr>
                <w:rFonts w:ascii="Times New Roman"/>
                <w:b w:val="false"/>
                <w:i w:val="false"/>
                <w:color w:val="000000"/>
                <w:sz w:val="20"/>
              </w:rPr>
              <w:t>
20___ ж. "___"_________</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құрылысының </w:t>
            </w:r>
          </w:p>
          <w:p>
            <w:pPr>
              <w:spacing w:after="20"/>
              <w:ind w:left="20"/>
              <w:jc w:val="both"/>
            </w:pPr>
            <w:r>
              <w:rPr>
                <w:rFonts w:ascii="Times New Roman"/>
                <w:b w:val="false"/>
                <w:i w:val="false"/>
                <w:color w:val="000000"/>
                <w:sz w:val="20"/>
              </w:rPr>
              <w:t>бірыңғай операторы" басшысы</w:t>
            </w:r>
          </w:p>
          <w:p>
            <w:pPr>
              <w:spacing w:after="20"/>
              <w:ind w:left="20"/>
              <w:jc w:val="both"/>
            </w:pPr>
            <w:r>
              <w:rPr>
                <w:rFonts w:ascii="Times New Roman"/>
                <w:b w:val="false"/>
                <w:i w:val="false"/>
                <w:color w:val="000000"/>
                <w:sz w:val="20"/>
              </w:rPr>
              <w:t>___________________ мырзаға</w:t>
            </w:r>
          </w:p>
        </w:tc>
      </w:tr>
    </w:tbl>
    <w:bookmarkStart w:name="z271" w:id="31"/>
    <w:p>
      <w:pPr>
        <w:spacing w:after="0"/>
        <w:ind w:left="0"/>
        <w:jc w:val="left"/>
      </w:pPr>
      <w:r>
        <w:rPr>
          <w:rFonts w:ascii="Times New Roman"/>
          <w:b/>
          <w:i w:val="false"/>
          <w:color w:val="000000"/>
        </w:rPr>
        <w:t xml:space="preserve"> Өтінім</w:t>
      </w:r>
    </w:p>
    <w:bookmarkEnd w:id="3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(құрылыс салушы мен уәкілетті компанияның атауы)</w:t>
      </w:r>
    </w:p>
    <w:p>
      <w:pPr>
        <w:spacing w:after="0"/>
        <w:ind w:left="0"/>
        <w:jc w:val="both"/>
      </w:pPr>
      <w:r>
        <w:rPr>
          <w:rFonts w:ascii="Times New Roman"/>
          <w:b w:val="false"/>
          <w:i w:val="false"/>
          <w:color w:val="000000"/>
          <w:sz w:val="28"/>
        </w:rPr>
        <w:t xml:space="preserve">
      Сізді тұрғын үй құрылысының бірыңғай операторынан (бұдан әрі – Біріңғай оператор) кепілдік алу тәсілімен тұрғын үй құрылысына үлестік қатысуды ұйымдастыру үшін Біріңғай оператордың кепілдігін алу мүмкіндігін айқындау тұрғысынан талдау жүргізу мақсатында _______________________________________ </w:t>
      </w:r>
    </w:p>
    <w:p>
      <w:pPr>
        <w:spacing w:after="0"/>
        <w:ind w:left="0"/>
        <w:jc w:val="both"/>
      </w:pPr>
      <w:r>
        <w:rPr>
          <w:rFonts w:ascii="Times New Roman"/>
          <w:b w:val="false"/>
          <w:i w:val="false"/>
          <w:color w:val="000000"/>
          <w:sz w:val="28"/>
        </w:rPr>
        <w:t xml:space="preserve">
      (жобаның атауын, орналасқан жерін көрсету) </w:t>
      </w:r>
    </w:p>
    <w:p>
      <w:pPr>
        <w:spacing w:after="0"/>
        <w:ind w:left="0"/>
        <w:jc w:val="both"/>
      </w:pPr>
      <w:r>
        <w:rPr>
          <w:rFonts w:ascii="Times New Roman"/>
          <w:b w:val="false"/>
          <w:i w:val="false"/>
          <w:color w:val="000000"/>
          <w:sz w:val="28"/>
        </w:rPr>
        <w:t>
      жобасы бойынша құжаттар тізбесін қарауға қабылдауыңызды сұрайды. Осы өтінімге қоса беріліп отырған ақпарат шынайы, толық, сапалы және ақиқатқа сәйкес келетінін растаймыз. Осымен Бірыңғай оператордың өтінімде көрсетілген деректерді, сондай-ақ, құрылыс салушы мен уәкілетті компанияның бірінші басшысы мен бас бухгалтерінің дербес деректерін жинауы мен өңдеуіне келісім береміз. __________________________________________________________________________ (құрылыс салушы мен уәкілетті компанияның атауы) жалған, дұрыс емес, сапасыз және толық емес ақпарат ұсынғаны үшін Қазақстан Республикасының заңнамасында көзделген жауапкершілігі туралы ескертілді.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Жоба бойынша ақпарат</w:t>
      </w:r>
    </w:p>
    <w:p>
      <w:pPr>
        <w:spacing w:after="0"/>
        <w:ind w:left="0"/>
        <w:jc w:val="both"/>
      </w:pPr>
      <w:r>
        <w:rPr>
          <w:rFonts w:ascii="Times New Roman"/>
          <w:b w:val="false"/>
          <w:i w:val="false"/>
          <w:color w:val="000000"/>
          <w:sz w:val="28"/>
        </w:rPr>
        <w:t>
      1. Құрылыс салушы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Акционерлер/қатысушылар құрамы (Акционердің/қатысушының атауы (компания, Т.А.Ә. (болған жағдайда), БСН/ЖСН) жарғылық капиталдағы қатысу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тіркелу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 (өңір, облыс, аудан, көше, үй, индекс, телефон,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 жайы (өңір, облыс, аудан, көше, үй, индекс, телефон,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органының басшысы (Т.А.Ә. (болған жағдайда), ЖСН, лауазымы,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арнайы рұқсаттардың, лицензиялардың болуы (құжаттың атауы, нөмірі және берілу күні,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Уәкілетті компания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толық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Акционерлер/қатысушылар құрамы (Акционердің/қатысушының атауы (компания, Т.А.Ә. (болған жағдайда), БСН/ЖСН) жарғылық капиталдағы қатысу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тіркелу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 (өңір, облыс, аудан, көше, үй, индекс, телефон,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 жайы (өңір, облыс, аудан, көше, үй, индекс, телефон,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органының басшысы (Т.А.Ә. (болған жағдайда), ЖСН, лауазымы,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Жоба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жер учаскесі бойынша мәртебесі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ведомстводан тыс сараптаманың оңқорытындысымен бірге ЖСҚ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жалпық ұны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сәйкес жобадағы тұрғын үй құрылысының 1 шаршыметрінің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қаржыландырудың болжамды құрылымы (қаржыландыру тетігі және оның параметрлері, қамтамасыз ету құрылымы және басқалары)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қосымшалар (қосымшалардың тізбесі).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салушы____________________ </w:t>
            </w:r>
          </w:p>
          <w:p>
            <w:pPr>
              <w:spacing w:after="20"/>
              <w:ind w:left="20"/>
              <w:jc w:val="both"/>
            </w:pPr>
            <w:r>
              <w:rPr>
                <w:rFonts w:ascii="Times New Roman"/>
                <w:b w:val="false"/>
                <w:i w:val="false"/>
                <w:color w:val="000000"/>
                <w:sz w:val="20"/>
              </w:rPr>
              <w:t xml:space="preserve">
Лауазымы __________________________ </w:t>
            </w:r>
          </w:p>
          <w:p>
            <w:pPr>
              <w:spacing w:after="20"/>
              <w:ind w:left="20"/>
              <w:jc w:val="both"/>
            </w:pPr>
            <w:r>
              <w:rPr>
                <w:rFonts w:ascii="Times New Roman"/>
                <w:b w:val="false"/>
                <w:i w:val="false"/>
                <w:color w:val="000000"/>
                <w:sz w:val="20"/>
              </w:rPr>
              <w:t xml:space="preserve">
Т.А.Ә. (болған жағдайда) (қолы) </w:t>
            </w:r>
          </w:p>
          <w:p>
            <w:pPr>
              <w:spacing w:after="20"/>
              <w:ind w:left="20"/>
              <w:jc w:val="both"/>
            </w:pPr>
            <w:r>
              <w:rPr>
                <w:rFonts w:ascii="Times New Roman"/>
                <w:b w:val="false"/>
                <w:i w:val="false"/>
                <w:color w:val="000000"/>
                <w:sz w:val="20"/>
              </w:rPr>
              <w:t>
МО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компания _________________ </w:t>
            </w:r>
          </w:p>
          <w:p>
            <w:pPr>
              <w:spacing w:after="20"/>
              <w:ind w:left="20"/>
              <w:jc w:val="both"/>
            </w:pPr>
            <w:r>
              <w:rPr>
                <w:rFonts w:ascii="Times New Roman"/>
                <w:b w:val="false"/>
                <w:i w:val="false"/>
                <w:color w:val="000000"/>
                <w:sz w:val="20"/>
              </w:rPr>
              <w:t xml:space="preserve">
Лауазымы _________________________ </w:t>
            </w:r>
          </w:p>
          <w:p>
            <w:pPr>
              <w:spacing w:after="20"/>
              <w:ind w:left="20"/>
              <w:jc w:val="both"/>
            </w:pPr>
            <w:r>
              <w:rPr>
                <w:rFonts w:ascii="Times New Roman"/>
                <w:b w:val="false"/>
                <w:i w:val="false"/>
                <w:color w:val="000000"/>
                <w:sz w:val="20"/>
              </w:rPr>
              <w:t xml:space="preserve">
Т.А.Ә. (болған жағдайда) (қолы) </w:t>
            </w:r>
          </w:p>
          <w:p>
            <w:pPr>
              <w:spacing w:after="20"/>
              <w:ind w:left="20"/>
              <w:jc w:val="both"/>
            </w:pPr>
            <w:r>
              <w:rPr>
                <w:rFonts w:ascii="Times New Roman"/>
                <w:b w:val="false"/>
                <w:i w:val="false"/>
                <w:color w:val="000000"/>
                <w:sz w:val="20"/>
              </w:rPr>
              <w:t>
МО (болған жағдайда)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Кепілдік беру туралы шарт </w:t>
            </w:r>
            <w:r>
              <w:br/>
            </w:r>
            <w:r>
              <w:rPr>
                <w:rFonts w:ascii="Times New Roman"/>
                <w:b w:val="false"/>
                <w:i w:val="false"/>
                <w:color w:val="000000"/>
                <w:sz w:val="20"/>
              </w:rPr>
              <w:t xml:space="preserve">жасасу үшін көппәтерлі тұрғын </w:t>
            </w:r>
            <w:r>
              <w:br/>
            </w:r>
            <w:r>
              <w:rPr>
                <w:rFonts w:ascii="Times New Roman"/>
                <w:b w:val="false"/>
                <w:i w:val="false"/>
                <w:color w:val="000000"/>
                <w:sz w:val="20"/>
              </w:rPr>
              <w:t xml:space="preserve">үй құрылысының жобасы </w:t>
            </w:r>
            <w:r>
              <w:br/>
            </w:r>
            <w:r>
              <w:rPr>
                <w:rFonts w:ascii="Times New Roman"/>
                <w:b w:val="false"/>
                <w:i w:val="false"/>
                <w:color w:val="000000"/>
                <w:sz w:val="20"/>
              </w:rPr>
              <w:t xml:space="preserve">бойынша құжаттарды </w:t>
            </w:r>
            <w:r>
              <w:br/>
            </w:r>
            <w:r>
              <w:rPr>
                <w:rFonts w:ascii="Times New Roman"/>
                <w:b w:val="false"/>
                <w:i w:val="false"/>
                <w:color w:val="000000"/>
                <w:sz w:val="20"/>
              </w:rPr>
              <w:t>қарау ережесіне</w:t>
            </w:r>
            <w:r>
              <w:br/>
            </w:r>
            <w:r>
              <w:rPr>
                <w:rFonts w:ascii="Times New Roman"/>
                <w:b w:val="false"/>
                <w:i w:val="false"/>
                <w:color w:val="000000"/>
                <w:sz w:val="20"/>
              </w:rPr>
              <w:t>2-қосымша</w:t>
            </w:r>
          </w:p>
        </w:tc>
      </w:tr>
    </w:tbl>
    <w:bookmarkStart w:name="z60" w:id="32"/>
    <w:p>
      <w:pPr>
        <w:spacing w:after="0"/>
        <w:ind w:left="0"/>
        <w:jc w:val="left"/>
      </w:pPr>
      <w:r>
        <w:rPr>
          <w:rFonts w:ascii="Times New Roman"/>
          <w:b/>
          <w:i w:val="false"/>
          <w:color w:val="000000"/>
        </w:rPr>
        <w:t xml:space="preserve"> Құжаттар тізімі</w:t>
      </w:r>
    </w:p>
    <w:bookmarkEnd w:id="32"/>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28.12.2022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6" w:id="33"/>
    <w:p>
      <w:pPr>
        <w:spacing w:after="0"/>
        <w:ind w:left="0"/>
        <w:jc w:val="both"/>
      </w:pPr>
      <w:r>
        <w:rPr>
          <w:rFonts w:ascii="Times New Roman"/>
          <w:b w:val="false"/>
          <w:i w:val="false"/>
          <w:color w:val="000000"/>
          <w:sz w:val="28"/>
        </w:rPr>
        <w:t>
      1. Құрылыс салушының және уәкілетті компанияның құрылтай құжаттары (жарғының нотариалды куәландырылған көшірмесі).</w:t>
      </w:r>
    </w:p>
    <w:bookmarkEnd w:id="33"/>
    <w:bookmarkStart w:name="z17" w:id="34"/>
    <w:p>
      <w:pPr>
        <w:spacing w:after="0"/>
        <w:ind w:left="0"/>
        <w:jc w:val="both"/>
      </w:pPr>
      <w:r>
        <w:rPr>
          <w:rFonts w:ascii="Times New Roman"/>
          <w:b w:val="false"/>
          <w:i w:val="false"/>
          <w:color w:val="000000"/>
          <w:sz w:val="28"/>
        </w:rPr>
        <w:t xml:space="preserve">
      2. Құрылыс салушының "Тұрғын үй құрылысына үлестік қатысу туралы" Қазақстан Республикасының Заңынның (бұдан әрі – Заң) 8-бабы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сәйкестігін растайтын құжаттар:</w:t>
      </w:r>
    </w:p>
    <w:bookmarkEnd w:id="34"/>
    <w:bookmarkStart w:name="z18" w:id="35"/>
    <w:p>
      <w:pPr>
        <w:spacing w:after="0"/>
        <w:ind w:left="0"/>
        <w:jc w:val="both"/>
      </w:pPr>
      <w:r>
        <w:rPr>
          <w:rFonts w:ascii="Times New Roman"/>
          <w:b w:val="false"/>
          <w:i w:val="false"/>
          <w:color w:val="000000"/>
          <w:sz w:val="28"/>
        </w:rPr>
        <w:t>
      1) тапсырылған шаршы метрді ескере отырып, көп пәтерлі тұрғын үйлер салу, оның ішінде мемлекеттік тапсырыс бойынша құрылыс салушының тәжірибесін растайтын құрылыс жобасын пайдалануға беру актілерінің көшірмелері;</w:t>
      </w:r>
    </w:p>
    <w:bookmarkEnd w:id="35"/>
    <w:bookmarkStart w:name="z19"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құрылыс салушының соңғы екі қаржы жылындағы аудиторлық қорытындымен расталған қаржылық есептілігі.</w:t>
      </w:r>
    </w:p>
    <w:bookmarkEnd w:id="36"/>
    <w:bookmarkStart w:name="z21" w:id="37"/>
    <w:p>
      <w:pPr>
        <w:spacing w:after="0"/>
        <w:ind w:left="0"/>
        <w:jc w:val="both"/>
      </w:pPr>
      <w:r>
        <w:rPr>
          <w:rFonts w:ascii="Times New Roman"/>
          <w:b w:val="false"/>
          <w:i w:val="false"/>
          <w:color w:val="000000"/>
          <w:sz w:val="28"/>
        </w:rPr>
        <w:t xml:space="preserve">
      3. Уәкілетті компанияның Заңның 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орындағанын растайтын құжаттар:</w:t>
      </w:r>
    </w:p>
    <w:bookmarkEnd w:id="37"/>
    <w:bookmarkStart w:name="z22" w:id="38"/>
    <w:p>
      <w:pPr>
        <w:spacing w:after="0"/>
        <w:ind w:left="0"/>
        <w:jc w:val="both"/>
      </w:pPr>
      <w:r>
        <w:rPr>
          <w:rFonts w:ascii="Times New Roman"/>
          <w:b w:val="false"/>
          <w:i w:val="false"/>
          <w:color w:val="000000"/>
          <w:sz w:val="28"/>
        </w:rPr>
        <w:t>
      1) сатып алу-сату шарты (айырбастау, сыйға тарту немесе жер учаскесін иеліктен шығару туралы өзге де мәміле) не жергілікті атқарушы органдардың немесе сот органдарының жер учаскесіне жеке меншік құқығын, жер пайдалану құқығын және жерге өзге де заттық құқықтарды тану туралы шешімі (нотариат куәландырған көшірме);</w:t>
      </w:r>
    </w:p>
    <w:bookmarkEnd w:id="38"/>
    <w:bookmarkStart w:name="z23" w:id="39"/>
    <w:p>
      <w:pPr>
        <w:spacing w:after="0"/>
        <w:ind w:left="0"/>
        <w:jc w:val="both"/>
      </w:pPr>
      <w:r>
        <w:rPr>
          <w:rFonts w:ascii="Times New Roman"/>
          <w:b w:val="false"/>
          <w:i w:val="false"/>
          <w:color w:val="000000"/>
          <w:sz w:val="28"/>
        </w:rPr>
        <w:t>
      2) жер учаскесіне жеке меншік құқығына акт не уақытша (өтеулі) жер пайдалану құқығына акт (нотариат куәландырған көшірме);</w:t>
      </w:r>
    </w:p>
    <w:bookmarkEnd w:id="39"/>
    <w:bookmarkStart w:name="z24" w:id="40"/>
    <w:p>
      <w:pPr>
        <w:spacing w:after="0"/>
        <w:ind w:left="0"/>
        <w:jc w:val="both"/>
      </w:pPr>
      <w:r>
        <w:rPr>
          <w:rFonts w:ascii="Times New Roman"/>
          <w:b w:val="false"/>
          <w:i w:val="false"/>
          <w:color w:val="000000"/>
          <w:sz w:val="28"/>
        </w:rPr>
        <w:t>
      3) Заңда айқындалған мөлшерде құрылыс мақсаттарына жұмсау үшін жоспарланатын ақшаның болуын растайтын банктік шот бойынша ақша қалдығы және қозғалысы туралы үзінді көшірме, тәуелсіз бағалау компаниясының жер учаскесін бағалау туралы есебі;</w:t>
      </w:r>
    </w:p>
    <w:bookmarkEnd w:id="40"/>
    <w:p>
      <w:pPr>
        <w:spacing w:after="0"/>
        <w:ind w:left="0"/>
        <w:jc w:val="both"/>
      </w:pPr>
      <w:r>
        <w:rPr>
          <w:rFonts w:ascii="Times New Roman"/>
          <w:b w:val="false"/>
          <w:i w:val="false"/>
          <w:color w:val="000000"/>
          <w:sz w:val="28"/>
        </w:rPr>
        <w:t>
      басталған құрылысты растайтын құжаттардың көшірмелері (құрылыс-монтаждау жұмыстарының басталғаны туралы хабарламаны қабылдау туралы талон, аяқталмаған құрылыс объектісін консервациялау (бар болса), авторлық және техникалық қадағалау шарттары; Инжиниринг компаниясының конструкциялардың сенімділігінің және ғимараттар мен инженерлік-коммуникациялық жүйелердің орнықтылығының техникалық жай-күйіне жобаны техникалық зерттеп-қарау туралы есебінің не қорытындысының түпнұсқасы);</w:t>
      </w:r>
    </w:p>
    <w:bookmarkStart w:name="z25" w:id="41"/>
    <w:p>
      <w:pPr>
        <w:spacing w:after="0"/>
        <w:ind w:left="0"/>
        <w:jc w:val="both"/>
      </w:pPr>
      <w:r>
        <w:rPr>
          <w:rFonts w:ascii="Times New Roman"/>
          <w:b w:val="false"/>
          <w:i w:val="false"/>
          <w:color w:val="000000"/>
          <w:sz w:val="28"/>
        </w:rPr>
        <w:t>
      4) ведомстводан тыс кешенді сараптаманың оң қорытындысы бар жобалау-сметалық құжаттама (электрондық түрде PDF (Portable Document Format) немесе мәлімделген жоба бойынша жобалау-сметалық құжаттаманы алуға жобаның құқық иеленушісі мен авторынан рұқсат хат (мемлекеттік ведомстводан тыс кешенді сараптама жобасы өткен кезде);</w:t>
      </w:r>
    </w:p>
    <w:bookmarkEnd w:id="41"/>
    <w:bookmarkStart w:name="z26" w:id="42"/>
    <w:p>
      <w:pPr>
        <w:spacing w:after="0"/>
        <w:ind w:left="0"/>
        <w:jc w:val="both"/>
      </w:pPr>
      <w:r>
        <w:rPr>
          <w:rFonts w:ascii="Times New Roman"/>
          <w:b w:val="false"/>
          <w:i w:val="false"/>
          <w:color w:val="000000"/>
          <w:sz w:val="28"/>
        </w:rPr>
        <w:t>
      5) объектіні инженерлік желілермен қамтамасыз ету жөніндегі техникалық шарттардың көшірмелері және магистральдық желілердің болуы туралы хаттар;</w:t>
      </w:r>
    </w:p>
    <w:bookmarkEnd w:id="42"/>
    <w:bookmarkStart w:name="z27" w:id="43"/>
    <w:p>
      <w:pPr>
        <w:spacing w:after="0"/>
        <w:ind w:left="0"/>
        <w:jc w:val="both"/>
      </w:pPr>
      <w:r>
        <w:rPr>
          <w:rFonts w:ascii="Times New Roman"/>
          <w:b w:val="false"/>
          <w:i w:val="false"/>
          <w:color w:val="000000"/>
          <w:sz w:val="28"/>
        </w:rPr>
        <w:t>
      6) кепілдік беру туралы шарт бойынша кепілдік жарнаны төлеуге арналған ақшаның болуын растайтын банктік шот бойынша ақша қалдығы және қозғалысы туралы үзінді көшірме;</w:t>
      </w:r>
    </w:p>
    <w:bookmarkEnd w:id="43"/>
    <w:bookmarkStart w:name="z28" w:id="44"/>
    <w:p>
      <w:pPr>
        <w:spacing w:after="0"/>
        <w:ind w:left="0"/>
        <w:jc w:val="both"/>
      </w:pPr>
      <w:r>
        <w:rPr>
          <w:rFonts w:ascii="Times New Roman"/>
          <w:b w:val="false"/>
          <w:i w:val="false"/>
          <w:color w:val="000000"/>
          <w:sz w:val="28"/>
        </w:rPr>
        <w:t>
      7) құрылыс-монтаждау жұмыстарын жүргізудің бекітілген жоспарымен уәкілетті компания мен мердігер (Бас мердігер) арасында жасалған шарттың көшірмесі қоса беріледі.</w:t>
      </w:r>
    </w:p>
    <w:bookmarkEnd w:id="44"/>
    <w:p>
      <w:pPr>
        <w:spacing w:after="0"/>
        <w:ind w:left="0"/>
        <w:jc w:val="both"/>
      </w:pPr>
      <w:r>
        <w:rPr>
          <w:rFonts w:ascii="Times New Roman"/>
          <w:b w:val="false"/>
          <w:i w:val="false"/>
          <w:color w:val="000000"/>
          <w:sz w:val="28"/>
        </w:rPr>
        <w:t>
      Егер арнайы экономикалық аймақтарға қатысушы уәкілетті компания құрылыс мердігерлігі шартының тарапы болып табылса, өтінімге сатып алынатын материалдардың және (немесе) жабдықтардың көлемі, осындай сатып алуды қаржыландыру көздері туралы ақпарат қоса беріледі.</w:t>
      </w:r>
    </w:p>
    <w:bookmarkStart w:name="z29" w:id="45"/>
    <w:p>
      <w:pPr>
        <w:spacing w:after="0"/>
        <w:ind w:left="0"/>
        <w:jc w:val="both"/>
      </w:pPr>
      <w:r>
        <w:rPr>
          <w:rFonts w:ascii="Times New Roman"/>
          <w:b w:val="false"/>
          <w:i w:val="false"/>
          <w:color w:val="000000"/>
          <w:sz w:val="28"/>
        </w:rPr>
        <w:t>
      4. Өтінімді қарау үшін комиссия төленгені туралы түбіртек.</w:t>
      </w:r>
    </w:p>
    <w:bookmarkEnd w:id="45"/>
    <w:bookmarkStart w:name="z30" w:id="46"/>
    <w:p>
      <w:pPr>
        <w:spacing w:after="0"/>
        <w:ind w:left="0"/>
        <w:jc w:val="both"/>
      </w:pPr>
      <w:r>
        <w:rPr>
          <w:rFonts w:ascii="Times New Roman"/>
          <w:b w:val="false"/>
          <w:i w:val="false"/>
          <w:color w:val="000000"/>
          <w:sz w:val="28"/>
        </w:rPr>
        <w:t>
      5. Құрылыс салушы мен уәкілетті компанияның басшылары қол қойған және олардың мөрлерімен (бар болса), сондай-ақ xls/xlsx/xlsm форматында электрондық түрде куәландырылған құрылыс жобасын қаржыландыру жоспары.</w:t>
      </w:r>
    </w:p>
    <w:bookmarkEnd w:id="46"/>
    <w:bookmarkStart w:name="z31" w:id="47"/>
    <w:p>
      <w:pPr>
        <w:spacing w:after="0"/>
        <w:ind w:left="0"/>
        <w:jc w:val="both"/>
      </w:pPr>
      <w:r>
        <w:rPr>
          <w:rFonts w:ascii="Times New Roman"/>
          <w:b w:val="false"/>
          <w:i w:val="false"/>
          <w:color w:val="000000"/>
          <w:sz w:val="28"/>
        </w:rPr>
        <w:t xml:space="preserve">
      6. Уәкілетті компанияның Заңның 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талапты орындауын растау үшін жылжымайтын мүлікке тіркелген құқықтар (ауыртпалықтар) және оның техникалық сипаттамалары туралы анықтама ("электрондық үкімет" порталынан) ұсынылады.</w:t>
      </w:r>
    </w:p>
    <w:bookmarkEnd w:id="47"/>
    <w:bookmarkStart w:name="z32" w:id="48"/>
    <w:p>
      <w:pPr>
        <w:spacing w:after="0"/>
        <w:ind w:left="0"/>
        <w:jc w:val="both"/>
      </w:pPr>
      <w:r>
        <w:rPr>
          <w:rFonts w:ascii="Times New Roman"/>
          <w:b w:val="false"/>
          <w:i w:val="false"/>
          <w:color w:val="000000"/>
          <w:sz w:val="28"/>
        </w:rPr>
        <w:t xml:space="preserve">
      7. Заңның 33-бабы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қаржылық бағалауды жүргізу үшін құрылыс салушы/уәкілетті компания Бірыңғай операторға ұсынатын құжат:</w:t>
      </w:r>
    </w:p>
    <w:bookmarkEnd w:id="48"/>
    <w:p>
      <w:pPr>
        <w:spacing w:after="0"/>
        <w:ind w:left="0"/>
        <w:jc w:val="both"/>
      </w:pPr>
      <w:r>
        <w:rPr>
          <w:rFonts w:ascii="Times New Roman"/>
          <w:b w:val="false"/>
          <w:i w:val="false"/>
          <w:color w:val="000000"/>
          <w:sz w:val="28"/>
        </w:rPr>
        <w:t>
      құрылыс салушының, уәкілетті компанияның өтінім берілген күннің алдындағы соңғы қаржы кезеңі (тоқсан, жартыжылдық) үшін қаржылық есептілігі, құрылыс салушының, уәкілетті компанияның басшысы/бас бухгалтері қол қойған және олардың мөрімен (бар болса) расталған қаржылық есептілік баптарының талдамасы.</w:t>
      </w:r>
    </w:p>
    <w:bookmarkStart w:name="z33" w:id="49"/>
    <w:p>
      <w:pPr>
        <w:spacing w:after="0"/>
        <w:ind w:left="0"/>
        <w:jc w:val="both"/>
      </w:pPr>
      <w:r>
        <w:rPr>
          <w:rFonts w:ascii="Times New Roman"/>
          <w:b w:val="false"/>
          <w:i w:val="false"/>
          <w:color w:val="000000"/>
          <w:sz w:val="28"/>
        </w:rPr>
        <w:t xml:space="preserve">
      8. Заңның 33-бабы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көзделген заңдық бағалауды жүргізу үшін құрылыс салушы/уәкілетті компания ұсынатын құжат:</w:t>
      </w:r>
    </w:p>
    <w:bookmarkEnd w:id="49"/>
    <w:p>
      <w:pPr>
        <w:spacing w:after="0"/>
        <w:ind w:left="0"/>
        <w:jc w:val="both"/>
      </w:pPr>
      <w:r>
        <w:rPr>
          <w:rFonts w:ascii="Times New Roman"/>
          <w:b w:val="false"/>
          <w:i w:val="false"/>
          <w:color w:val="000000"/>
          <w:sz w:val="28"/>
        </w:rPr>
        <w:t>
      Заңды тұлғаны мемлекеттік тіркеу/қайта тіркеу туралы құжат ("Электрондық үкімет" порталынан) (Компания атауы өзгерген жағдайда, бизнес-сәйкестендіру нөмірлерінің ұлттық тізілімінен компания атауының өзгеруі туралы мәліметтер).</w:t>
      </w:r>
    </w:p>
    <w:bookmarkStart w:name="z34" w:id="50"/>
    <w:p>
      <w:pPr>
        <w:spacing w:after="0"/>
        <w:ind w:left="0"/>
        <w:jc w:val="both"/>
      </w:pPr>
      <w:r>
        <w:rPr>
          <w:rFonts w:ascii="Times New Roman"/>
          <w:b w:val="false"/>
          <w:i w:val="false"/>
          <w:color w:val="000000"/>
          <w:sz w:val="28"/>
        </w:rPr>
        <w:t xml:space="preserve">
      9. Заңның 33-бабы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заңдық бағалауды жүргізу үшін құрылыс салушы/уәкілетті компания ұсынатын құжаттар:</w:t>
      </w:r>
    </w:p>
    <w:bookmarkEnd w:id="50"/>
    <w:bookmarkStart w:name="z35" w:id="51"/>
    <w:p>
      <w:pPr>
        <w:spacing w:after="0"/>
        <w:ind w:left="0"/>
        <w:jc w:val="both"/>
      </w:pPr>
      <w:r>
        <w:rPr>
          <w:rFonts w:ascii="Times New Roman"/>
          <w:b w:val="false"/>
          <w:i w:val="false"/>
          <w:color w:val="000000"/>
          <w:sz w:val="28"/>
        </w:rPr>
        <w:t>
      1) Уәкілетті компанияның дауыс беретін акцияларын (жарғылық капиталға қатысу үлестерін), сондай-ақ уәкілетті компанияның дауыс беретін акцияларының (жарғылық капиталға қатысу үлестерінің) 100% - ын кепілге беру туралы құрылыс салушының уәкілетті органы шешімдерінің көшірмелері (құрылыс салушының мөрімен (бар болса) расталған);</w:t>
      </w:r>
    </w:p>
    <w:bookmarkEnd w:id="51"/>
    <w:bookmarkStart w:name="z36" w:id="52"/>
    <w:p>
      <w:pPr>
        <w:spacing w:after="0"/>
        <w:ind w:left="0"/>
        <w:jc w:val="both"/>
      </w:pPr>
      <w:r>
        <w:rPr>
          <w:rFonts w:ascii="Times New Roman"/>
          <w:b w:val="false"/>
          <w:i w:val="false"/>
          <w:color w:val="000000"/>
          <w:sz w:val="28"/>
        </w:rPr>
        <w:t>
      2) Уәкілетті компанияның уәкілетті органының құрылысы аяқталмаған жер учаскесін және/немесе жер пайдалану құқығын оның егжей-тегжейлі сипаттамасымен (уәкілетті компанияның мөрімен (бар болса) расталған) Бірыңғай операторға кепілге беру туралы шешімінің көшірмесі;</w:t>
      </w:r>
    </w:p>
    <w:bookmarkEnd w:id="52"/>
    <w:bookmarkStart w:name="z37" w:id="53"/>
    <w:p>
      <w:pPr>
        <w:spacing w:after="0"/>
        <w:ind w:left="0"/>
        <w:jc w:val="both"/>
      </w:pPr>
      <w:r>
        <w:rPr>
          <w:rFonts w:ascii="Times New Roman"/>
          <w:b w:val="false"/>
          <w:i w:val="false"/>
          <w:color w:val="000000"/>
          <w:sz w:val="28"/>
        </w:rPr>
        <w:t>
      3) құрылыс салушының/уәкілетті компанияның атынан бірінші және екінші қол қою құқығымен уәкілеттік берілген адамдардың өкілеттіктерін растайтын құжаттардың көшірмелері, сондай-ақ олардың жеке басын куәландыратын құжаттардың көшірмелері (мөрмен (бар болса) расталған).</w:t>
      </w:r>
    </w:p>
    <w:bookmarkEnd w:id="53"/>
    <w:bookmarkStart w:name="z38" w:id="54"/>
    <w:p>
      <w:pPr>
        <w:spacing w:after="0"/>
        <w:ind w:left="0"/>
        <w:jc w:val="both"/>
      </w:pPr>
      <w:r>
        <w:rPr>
          <w:rFonts w:ascii="Times New Roman"/>
          <w:b w:val="false"/>
          <w:i w:val="false"/>
          <w:color w:val="000000"/>
          <w:sz w:val="28"/>
        </w:rPr>
        <w:t xml:space="preserve">
      10. Заңның 35-бабының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талапты орындау үшін құрылыс салушы/уәкілетті компания ұсынатын құжат:</w:t>
      </w:r>
    </w:p>
    <w:bookmarkEnd w:id="54"/>
    <w:p>
      <w:pPr>
        <w:spacing w:after="0"/>
        <w:ind w:left="0"/>
        <w:jc w:val="both"/>
      </w:pPr>
      <w:r>
        <w:rPr>
          <w:rFonts w:ascii="Times New Roman"/>
          <w:b w:val="false"/>
          <w:i w:val="false"/>
          <w:color w:val="000000"/>
          <w:sz w:val="28"/>
        </w:rPr>
        <w:t>
      тәуелсіз бағалау компаниясының бірыңғай операторға кепілге берілетін жылжымалы және жылжымайтын мүлікті бағалау туралы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Кепілдік беру туралы шарт </w:t>
            </w:r>
            <w:r>
              <w:br/>
            </w:r>
            <w:r>
              <w:rPr>
                <w:rFonts w:ascii="Times New Roman"/>
                <w:b w:val="false"/>
                <w:i w:val="false"/>
                <w:color w:val="000000"/>
                <w:sz w:val="20"/>
              </w:rPr>
              <w:t xml:space="preserve">жасасу үшін көппәтерлі тұрғын </w:t>
            </w:r>
            <w:r>
              <w:br/>
            </w:r>
            <w:r>
              <w:rPr>
                <w:rFonts w:ascii="Times New Roman"/>
                <w:b w:val="false"/>
                <w:i w:val="false"/>
                <w:color w:val="000000"/>
                <w:sz w:val="20"/>
              </w:rPr>
              <w:t xml:space="preserve">үй құрылысының жобасы </w:t>
            </w:r>
            <w:r>
              <w:br/>
            </w:r>
            <w:r>
              <w:rPr>
                <w:rFonts w:ascii="Times New Roman"/>
                <w:b w:val="false"/>
                <w:i w:val="false"/>
                <w:color w:val="000000"/>
                <w:sz w:val="20"/>
              </w:rPr>
              <w:t xml:space="preserve">бойынша құжаттарды </w:t>
            </w:r>
            <w:r>
              <w:br/>
            </w:r>
            <w:r>
              <w:rPr>
                <w:rFonts w:ascii="Times New Roman"/>
                <w:b w:val="false"/>
                <w:i w:val="false"/>
                <w:color w:val="000000"/>
                <w:sz w:val="20"/>
              </w:rPr>
              <w:t>қарау ережесіне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92" w:id="55"/>
    <w:p>
      <w:pPr>
        <w:spacing w:after="0"/>
        <w:ind w:left="0"/>
        <w:jc w:val="left"/>
      </w:pPr>
      <w:r>
        <w:rPr>
          <w:rFonts w:ascii="Times New Roman"/>
          <w:b/>
          <w:i w:val="false"/>
          <w:color w:val="000000"/>
        </w:rPr>
        <w:t xml:space="preserve"> Құрылыс жобасын қаржыландыру жоспары</w:t>
      </w:r>
    </w:p>
    <w:bookmarkEnd w:id="55"/>
    <w:p>
      <w:pPr>
        <w:spacing w:after="0"/>
        <w:ind w:left="0"/>
        <w:jc w:val="both"/>
      </w:pPr>
      <w:r>
        <w:rPr>
          <w:rFonts w:ascii="Times New Roman"/>
          <w:b w:val="false"/>
          <w:i w:val="false"/>
          <w:color w:val="ff0000"/>
          <w:sz w:val="28"/>
        </w:rPr>
        <w:t xml:space="preserve">
      Ескерту. Бұйрық 3-қосымшамен толықтырылды – ҚР Инвестициялар және даму министрінің 21.08.2017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жаңа редакцияда - ҚР Индустрия және инфрақұрылымдық даму министрінің 28.12.2022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1. Жобалық шығыстар жоспары және құрылысты қаржыландыру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жұмыстардың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құны,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қаржыландыру кестесі,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аяқталмаған құрылыс үшін жұмсалған шығындардың құны және өзге шығындарды төлеу (құрылыс басталған кезде) </w:t>
      </w:r>
    </w:p>
    <w:p>
      <w:pPr>
        <w:spacing w:after="0"/>
        <w:ind w:left="0"/>
        <w:jc w:val="both"/>
      </w:pPr>
      <w:r>
        <w:rPr>
          <w:rFonts w:ascii="Times New Roman"/>
          <w:b w:val="false"/>
          <w:i w:val="false"/>
          <w:color w:val="000000"/>
          <w:sz w:val="28"/>
        </w:rPr>
        <w:t>
      2. Көппәтерлі тұрғын үйдегі үй-жайларды сату және жалға беру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үшін сату/жалға алу бағасы,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сату және жалға беру жоспары, ________ жыл,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орын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Коммерцялық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Салу және тұрғын үйдегі үй-жайды жалға өткізу жоспары жобаны іске асырудың барлық мерзімінде жасалады (үлескерлердің ақша қаражатын тартуға рұқсат алған сәттен бастап үй-жайдың барлық түрлерін іске асырғанға дейін). Осы нысанның 2-тармағында үй-жай түрінің әрбір бірлігінің деректері жеке көрсетіледі.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_______________________</w:t>
            </w:r>
          </w:p>
          <w:p>
            <w:pPr>
              <w:spacing w:after="20"/>
              <w:ind w:left="20"/>
              <w:jc w:val="both"/>
            </w:pPr>
            <w:r>
              <w:rPr>
                <w:rFonts w:ascii="Times New Roman"/>
                <w:b w:val="false"/>
                <w:i w:val="false"/>
                <w:color w:val="000000"/>
                <w:sz w:val="20"/>
              </w:rPr>
              <w:t>
Лауазымы _____________________________</w:t>
            </w:r>
          </w:p>
          <w:p>
            <w:pPr>
              <w:spacing w:after="20"/>
              <w:ind w:left="20"/>
              <w:jc w:val="both"/>
            </w:pPr>
            <w:r>
              <w:rPr>
                <w:rFonts w:ascii="Times New Roman"/>
                <w:b w:val="false"/>
                <w:i w:val="false"/>
                <w:color w:val="000000"/>
                <w:sz w:val="20"/>
              </w:rPr>
              <w:t>
Тегі Аты Әкесінің аты (ол болған жағдайда) (қолы)</w:t>
            </w:r>
          </w:p>
          <w:p>
            <w:pPr>
              <w:spacing w:after="20"/>
              <w:ind w:left="20"/>
              <w:jc w:val="both"/>
            </w:pPr>
            <w:r>
              <w:rPr>
                <w:rFonts w:ascii="Times New Roman"/>
                <w:b w:val="false"/>
                <w:i w:val="false"/>
                <w:color w:val="000000"/>
                <w:sz w:val="20"/>
              </w:rPr>
              <w:t>
Мөр орны (ол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компания _____________________</w:t>
            </w:r>
          </w:p>
          <w:p>
            <w:pPr>
              <w:spacing w:after="20"/>
              <w:ind w:left="20"/>
              <w:jc w:val="both"/>
            </w:pPr>
            <w:r>
              <w:rPr>
                <w:rFonts w:ascii="Times New Roman"/>
                <w:b w:val="false"/>
                <w:i w:val="false"/>
                <w:color w:val="000000"/>
                <w:sz w:val="20"/>
              </w:rPr>
              <w:t>
Лауазымы _____________________________</w:t>
            </w:r>
          </w:p>
          <w:p>
            <w:pPr>
              <w:spacing w:after="20"/>
              <w:ind w:left="20"/>
              <w:jc w:val="both"/>
            </w:pPr>
            <w:r>
              <w:rPr>
                <w:rFonts w:ascii="Times New Roman"/>
                <w:b w:val="false"/>
                <w:i w:val="false"/>
                <w:color w:val="000000"/>
                <w:sz w:val="20"/>
              </w:rPr>
              <w:t>
Тегі Аты Әкесінің аты (ол болған жағдайда) (қолы)</w:t>
            </w:r>
          </w:p>
          <w:p>
            <w:pPr>
              <w:spacing w:after="20"/>
              <w:ind w:left="20"/>
              <w:jc w:val="both"/>
            </w:pPr>
            <w:r>
              <w:rPr>
                <w:rFonts w:ascii="Times New Roman"/>
                <w:b w:val="false"/>
                <w:i w:val="false"/>
                <w:color w:val="000000"/>
                <w:sz w:val="20"/>
              </w:rPr>
              <w:t>
Мөр орны (ол болған жағдайда)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 шартты</w:t>
            </w:r>
            <w:r>
              <w:br/>
            </w:r>
            <w:r>
              <w:rPr>
                <w:rFonts w:ascii="Times New Roman"/>
                <w:b w:val="false"/>
                <w:i w:val="false"/>
                <w:color w:val="000000"/>
                <w:sz w:val="20"/>
              </w:rPr>
              <w:t>жасасу үшін көппәтерлі тұрғын</w:t>
            </w:r>
            <w:r>
              <w:br/>
            </w:r>
            <w:r>
              <w:rPr>
                <w:rFonts w:ascii="Times New Roman"/>
                <w:b w:val="false"/>
                <w:i w:val="false"/>
                <w:color w:val="000000"/>
                <w:sz w:val="20"/>
              </w:rPr>
              <w:t>үй құрылысының жобасы</w:t>
            </w:r>
            <w:r>
              <w:br/>
            </w:r>
            <w:r>
              <w:rPr>
                <w:rFonts w:ascii="Times New Roman"/>
                <w:b w:val="false"/>
                <w:i w:val="false"/>
                <w:color w:val="000000"/>
                <w:sz w:val="20"/>
              </w:rPr>
              <w:t>бойынша құжаттарды</w:t>
            </w:r>
            <w:r>
              <w:br/>
            </w:r>
            <w:r>
              <w:rPr>
                <w:rFonts w:ascii="Times New Roman"/>
                <w:b w:val="false"/>
                <w:i w:val="false"/>
                <w:color w:val="000000"/>
                <w:sz w:val="20"/>
              </w:rPr>
              <w:t>қарау қағидаларына</w:t>
            </w:r>
            <w:r>
              <w:br/>
            </w:r>
            <w:r>
              <w:rPr>
                <w:rFonts w:ascii="Times New Roman"/>
                <w:b w:val="false"/>
                <w:i w:val="false"/>
                <w:color w:val="000000"/>
                <w:sz w:val="20"/>
              </w:rPr>
              <w:t>4-қосымша</w:t>
            </w:r>
          </w:p>
        </w:tc>
      </w:tr>
    </w:tbl>
    <w:bookmarkStart w:name="z275" w:id="56"/>
    <w:p>
      <w:pPr>
        <w:spacing w:after="0"/>
        <w:ind w:left="0"/>
        <w:jc w:val="left"/>
      </w:pPr>
      <w:r>
        <w:rPr>
          <w:rFonts w:ascii="Times New Roman"/>
          <w:b/>
          <w:i w:val="false"/>
          <w:color w:val="000000"/>
        </w:rPr>
        <w:t xml:space="preserve"> Тәуекел көрсеткіштері мен факторларының бағалауына негізделген көпфакторлы үлгі</w:t>
      </w:r>
    </w:p>
    <w:bookmarkEnd w:id="56"/>
    <w:p>
      <w:pPr>
        <w:spacing w:after="0"/>
        <w:ind w:left="0"/>
        <w:jc w:val="both"/>
      </w:pPr>
      <w:r>
        <w:rPr>
          <w:rFonts w:ascii="Times New Roman"/>
          <w:b w:val="false"/>
          <w:i w:val="false"/>
          <w:color w:val="ff0000"/>
          <w:sz w:val="28"/>
        </w:rPr>
        <w:t xml:space="preserve">
      Ескерту. Қағида 4-қосымшамен толықтырылды - ҚР Индустрия және инфрақұрылымдық даму министрінің м.а. 25.04.2023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факторы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 және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Пайдалылық көрсеткіштері</w:t>
            </w:r>
          </w:p>
          <w:p>
            <w:pPr>
              <w:spacing w:after="20"/>
              <w:ind w:left="20"/>
              <w:jc w:val="both"/>
            </w:pPr>
            <w:r>
              <w:rPr>
                <w:rFonts w:ascii="Times New Roman"/>
                <w:b w:val="false"/>
                <w:i w:val="false"/>
                <w:color w:val="000000"/>
                <w:sz w:val="20"/>
              </w:rPr>
              <w:t>
(0-ден 20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пайдалылық коэффициенті (таза кіріс/түсім)</w:t>
            </w:r>
          </w:p>
          <w:p>
            <w:pPr>
              <w:spacing w:after="20"/>
              <w:ind w:left="20"/>
              <w:jc w:val="both"/>
            </w:pPr>
            <w:r>
              <w:rPr>
                <w:rFonts w:ascii="Times New Roman"/>
                <w:b w:val="false"/>
                <w:i w:val="false"/>
                <w:color w:val="000000"/>
                <w:sz w:val="20"/>
              </w:rPr>
              <w:t>
Материалдық, еңбек, ақшалай және басқа ресурстарды пайдаланудың тиімділік дәрежесін көрсетеді</w:t>
            </w:r>
          </w:p>
          <w:p>
            <w:pPr>
              <w:spacing w:after="20"/>
              <w:ind w:left="20"/>
              <w:jc w:val="both"/>
            </w:pPr>
            <w:r>
              <w:rPr>
                <w:rFonts w:ascii="Times New Roman"/>
                <w:b w:val="false"/>
                <w:i w:val="false"/>
                <w:color w:val="000000"/>
                <w:sz w:val="20"/>
              </w:rPr>
              <w:t>
0-ден 7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0,02 дейін – 0 балл</w:t>
            </w:r>
          </w:p>
          <w:p>
            <w:pPr>
              <w:spacing w:after="20"/>
              <w:ind w:left="20"/>
              <w:jc w:val="both"/>
            </w:pPr>
            <w:r>
              <w:rPr>
                <w:rFonts w:ascii="Times New Roman"/>
                <w:b w:val="false"/>
                <w:i w:val="false"/>
                <w:color w:val="000000"/>
                <w:sz w:val="20"/>
              </w:rPr>
              <w:t>
0,02-ден жоғары 0,05-дейін – 1 балл</w:t>
            </w:r>
          </w:p>
          <w:p>
            <w:pPr>
              <w:spacing w:after="20"/>
              <w:ind w:left="20"/>
              <w:jc w:val="both"/>
            </w:pPr>
            <w:r>
              <w:rPr>
                <w:rFonts w:ascii="Times New Roman"/>
                <w:b w:val="false"/>
                <w:i w:val="false"/>
                <w:color w:val="000000"/>
                <w:sz w:val="20"/>
              </w:rPr>
              <w:t>
0,05-ден жоғары 0,08-дейін – 2 балл</w:t>
            </w:r>
          </w:p>
          <w:p>
            <w:pPr>
              <w:spacing w:after="20"/>
              <w:ind w:left="20"/>
              <w:jc w:val="both"/>
            </w:pPr>
            <w:r>
              <w:rPr>
                <w:rFonts w:ascii="Times New Roman"/>
                <w:b w:val="false"/>
                <w:i w:val="false"/>
                <w:color w:val="000000"/>
                <w:sz w:val="20"/>
              </w:rPr>
              <w:t>
0,08-ден жоғары 0,11-дейін – 3 балл</w:t>
            </w:r>
          </w:p>
          <w:p>
            <w:pPr>
              <w:spacing w:after="20"/>
              <w:ind w:left="20"/>
              <w:jc w:val="both"/>
            </w:pPr>
            <w:r>
              <w:rPr>
                <w:rFonts w:ascii="Times New Roman"/>
                <w:b w:val="false"/>
                <w:i w:val="false"/>
                <w:color w:val="000000"/>
                <w:sz w:val="20"/>
              </w:rPr>
              <w:t>
0,11-ден жоғары 0,14-дейін – 4 балл</w:t>
            </w:r>
          </w:p>
          <w:p>
            <w:pPr>
              <w:spacing w:after="20"/>
              <w:ind w:left="20"/>
              <w:jc w:val="both"/>
            </w:pPr>
            <w:r>
              <w:rPr>
                <w:rFonts w:ascii="Times New Roman"/>
                <w:b w:val="false"/>
                <w:i w:val="false"/>
                <w:color w:val="000000"/>
                <w:sz w:val="20"/>
              </w:rPr>
              <w:t>
0,14-ден жоғары 0,17-дейін – 5 балл</w:t>
            </w:r>
          </w:p>
          <w:p>
            <w:pPr>
              <w:spacing w:after="20"/>
              <w:ind w:left="20"/>
              <w:jc w:val="both"/>
            </w:pPr>
            <w:r>
              <w:rPr>
                <w:rFonts w:ascii="Times New Roman"/>
                <w:b w:val="false"/>
                <w:i w:val="false"/>
                <w:color w:val="000000"/>
                <w:sz w:val="20"/>
              </w:rPr>
              <w:t>
0,17-ден жоғары 0,2-дейін - 6 балл</w:t>
            </w:r>
          </w:p>
          <w:p>
            <w:pPr>
              <w:spacing w:after="20"/>
              <w:ind w:left="20"/>
              <w:jc w:val="both"/>
            </w:pPr>
            <w:r>
              <w:rPr>
                <w:rFonts w:ascii="Times New Roman"/>
                <w:b w:val="false"/>
                <w:i w:val="false"/>
                <w:color w:val="000000"/>
                <w:sz w:val="20"/>
              </w:rPr>
              <w:t>
0,20-дан жоғары – 7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Активтердің пайдалылық коэффициенті (таза кіріс /активтер)</w:t>
            </w:r>
          </w:p>
          <w:p>
            <w:pPr>
              <w:spacing w:after="20"/>
              <w:ind w:left="20"/>
              <w:jc w:val="both"/>
            </w:pPr>
            <w:r>
              <w:rPr>
                <w:rFonts w:ascii="Times New Roman"/>
                <w:b w:val="false"/>
                <w:i w:val="false"/>
                <w:color w:val="000000"/>
                <w:sz w:val="20"/>
              </w:rPr>
              <w:t>
Ұйым капиталының құрылымын есепке алусыз пайданы түрлендіру қабілеттігін, активтерді басқару сапасын көрсетеді</w:t>
            </w:r>
          </w:p>
          <w:p>
            <w:pPr>
              <w:spacing w:after="20"/>
              <w:ind w:left="20"/>
              <w:jc w:val="both"/>
            </w:pPr>
            <w:r>
              <w:rPr>
                <w:rFonts w:ascii="Times New Roman"/>
                <w:b w:val="false"/>
                <w:i w:val="false"/>
                <w:color w:val="000000"/>
                <w:sz w:val="20"/>
              </w:rPr>
              <w:t>
0-ден 6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 балл</w:t>
            </w:r>
          </w:p>
          <w:p>
            <w:pPr>
              <w:spacing w:after="20"/>
              <w:ind w:left="20"/>
              <w:jc w:val="both"/>
            </w:pPr>
            <w:r>
              <w:rPr>
                <w:rFonts w:ascii="Times New Roman"/>
                <w:b w:val="false"/>
                <w:i w:val="false"/>
                <w:color w:val="000000"/>
                <w:sz w:val="20"/>
              </w:rPr>
              <w:t>
0-ден 0,02-дейін – 1 балл</w:t>
            </w:r>
          </w:p>
          <w:p>
            <w:pPr>
              <w:spacing w:after="20"/>
              <w:ind w:left="20"/>
              <w:jc w:val="both"/>
            </w:pPr>
            <w:r>
              <w:rPr>
                <w:rFonts w:ascii="Times New Roman"/>
                <w:b w:val="false"/>
                <w:i w:val="false"/>
                <w:color w:val="000000"/>
                <w:sz w:val="20"/>
              </w:rPr>
              <w:t>
0,02-ден жоғары 0,04-дейін – 2 балл</w:t>
            </w:r>
          </w:p>
          <w:p>
            <w:pPr>
              <w:spacing w:after="20"/>
              <w:ind w:left="20"/>
              <w:jc w:val="both"/>
            </w:pPr>
            <w:r>
              <w:rPr>
                <w:rFonts w:ascii="Times New Roman"/>
                <w:b w:val="false"/>
                <w:i w:val="false"/>
                <w:color w:val="000000"/>
                <w:sz w:val="20"/>
              </w:rPr>
              <w:t>
0,04-ден жоғары 0,06-дейін – 3 балл</w:t>
            </w:r>
          </w:p>
          <w:p>
            <w:pPr>
              <w:spacing w:after="20"/>
              <w:ind w:left="20"/>
              <w:jc w:val="both"/>
            </w:pPr>
            <w:r>
              <w:rPr>
                <w:rFonts w:ascii="Times New Roman"/>
                <w:b w:val="false"/>
                <w:i w:val="false"/>
                <w:color w:val="000000"/>
                <w:sz w:val="20"/>
              </w:rPr>
              <w:t>
0,06-тен жоғары 0,08-дейін – 4 балл</w:t>
            </w:r>
          </w:p>
          <w:p>
            <w:pPr>
              <w:spacing w:after="20"/>
              <w:ind w:left="20"/>
              <w:jc w:val="both"/>
            </w:pPr>
            <w:r>
              <w:rPr>
                <w:rFonts w:ascii="Times New Roman"/>
                <w:b w:val="false"/>
                <w:i w:val="false"/>
                <w:color w:val="000000"/>
                <w:sz w:val="20"/>
              </w:rPr>
              <w:t>
0,08-тен жоғары 0,1-дейін – 5 балл</w:t>
            </w:r>
          </w:p>
          <w:p>
            <w:pPr>
              <w:spacing w:after="20"/>
              <w:ind w:left="20"/>
              <w:jc w:val="both"/>
            </w:pPr>
            <w:r>
              <w:rPr>
                <w:rFonts w:ascii="Times New Roman"/>
                <w:b w:val="false"/>
                <w:i w:val="false"/>
                <w:color w:val="000000"/>
                <w:sz w:val="20"/>
              </w:rPr>
              <w:t>
0,1-дан жоғары – 6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капиталдың пайдалылық коэффициенті (таза кіріс/жеке капитал)</w:t>
            </w:r>
          </w:p>
          <w:p>
            <w:pPr>
              <w:spacing w:after="20"/>
              <w:ind w:left="20"/>
              <w:jc w:val="both"/>
            </w:pPr>
            <w:r>
              <w:rPr>
                <w:rFonts w:ascii="Times New Roman"/>
                <w:b w:val="false"/>
                <w:i w:val="false"/>
                <w:color w:val="000000"/>
                <w:sz w:val="20"/>
              </w:rPr>
              <w:t>
Салынған жеке капитал қаншалықты тиімді пайдаланылғанын көрсетеді</w:t>
            </w:r>
          </w:p>
          <w:p>
            <w:pPr>
              <w:spacing w:after="20"/>
              <w:ind w:left="20"/>
              <w:jc w:val="both"/>
            </w:pPr>
            <w:r>
              <w:rPr>
                <w:rFonts w:ascii="Times New Roman"/>
                <w:b w:val="false"/>
                <w:i w:val="false"/>
                <w:color w:val="000000"/>
                <w:sz w:val="20"/>
              </w:rPr>
              <w:t>
0-ден 7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кем не тең – 0 балл</w:t>
            </w:r>
          </w:p>
          <w:p>
            <w:pPr>
              <w:spacing w:after="20"/>
              <w:ind w:left="20"/>
              <w:jc w:val="both"/>
            </w:pPr>
            <w:r>
              <w:rPr>
                <w:rFonts w:ascii="Times New Roman"/>
                <w:b w:val="false"/>
                <w:i w:val="false"/>
                <w:color w:val="000000"/>
                <w:sz w:val="20"/>
              </w:rPr>
              <w:t>
0-ден 0,03-дейін – 1 балл</w:t>
            </w:r>
          </w:p>
          <w:p>
            <w:pPr>
              <w:spacing w:after="20"/>
              <w:ind w:left="20"/>
              <w:jc w:val="both"/>
            </w:pPr>
            <w:r>
              <w:rPr>
                <w:rFonts w:ascii="Times New Roman"/>
                <w:b w:val="false"/>
                <w:i w:val="false"/>
                <w:color w:val="000000"/>
                <w:sz w:val="20"/>
              </w:rPr>
              <w:t>
0,03-ден жоғары 0,06-дейін – 2 балл</w:t>
            </w:r>
          </w:p>
          <w:p>
            <w:pPr>
              <w:spacing w:after="20"/>
              <w:ind w:left="20"/>
              <w:jc w:val="both"/>
            </w:pPr>
            <w:r>
              <w:rPr>
                <w:rFonts w:ascii="Times New Roman"/>
                <w:b w:val="false"/>
                <w:i w:val="false"/>
                <w:color w:val="000000"/>
                <w:sz w:val="20"/>
              </w:rPr>
              <w:t>
0,06-тен жоғары 0,09-дейін – 3 балл</w:t>
            </w:r>
          </w:p>
          <w:p>
            <w:pPr>
              <w:spacing w:after="20"/>
              <w:ind w:left="20"/>
              <w:jc w:val="both"/>
            </w:pPr>
            <w:r>
              <w:rPr>
                <w:rFonts w:ascii="Times New Roman"/>
                <w:b w:val="false"/>
                <w:i w:val="false"/>
                <w:color w:val="000000"/>
                <w:sz w:val="20"/>
              </w:rPr>
              <w:t>
0,09-дан жоғары 0,12-дейін – 4 балл</w:t>
            </w:r>
          </w:p>
          <w:p>
            <w:pPr>
              <w:spacing w:after="20"/>
              <w:ind w:left="20"/>
              <w:jc w:val="both"/>
            </w:pPr>
            <w:r>
              <w:rPr>
                <w:rFonts w:ascii="Times New Roman"/>
                <w:b w:val="false"/>
                <w:i w:val="false"/>
                <w:color w:val="000000"/>
                <w:sz w:val="20"/>
              </w:rPr>
              <w:t>
0,12-ден жоғары 0,15-дейін – 5 балл</w:t>
            </w:r>
          </w:p>
          <w:p>
            <w:pPr>
              <w:spacing w:after="20"/>
              <w:ind w:left="20"/>
              <w:jc w:val="both"/>
            </w:pPr>
            <w:r>
              <w:rPr>
                <w:rFonts w:ascii="Times New Roman"/>
                <w:b w:val="false"/>
                <w:i w:val="false"/>
                <w:color w:val="000000"/>
                <w:sz w:val="20"/>
              </w:rPr>
              <w:t>
0,15-нан жоғары 0,18-дейін – 6 балл</w:t>
            </w:r>
          </w:p>
          <w:p>
            <w:pPr>
              <w:spacing w:after="20"/>
              <w:ind w:left="20"/>
              <w:jc w:val="both"/>
            </w:pPr>
            <w:r>
              <w:rPr>
                <w:rFonts w:ascii="Times New Roman"/>
                <w:b w:val="false"/>
                <w:i w:val="false"/>
                <w:color w:val="000000"/>
                <w:sz w:val="20"/>
              </w:rPr>
              <w:t>
 0,18-ден жоғары – 7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Өтімділік көрсеткіштері</w:t>
            </w:r>
          </w:p>
          <w:p>
            <w:pPr>
              <w:spacing w:after="20"/>
              <w:ind w:left="20"/>
              <w:jc w:val="both"/>
            </w:pPr>
            <w:r>
              <w:rPr>
                <w:rFonts w:ascii="Times New Roman"/>
                <w:b w:val="false"/>
                <w:i w:val="false"/>
                <w:color w:val="000000"/>
                <w:sz w:val="20"/>
              </w:rPr>
              <w:t>
(0-ден 10 баллға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(қысқа мерзімді активтер/қысқа мерзімді міндеттемелер)</w:t>
            </w:r>
          </w:p>
          <w:p>
            <w:pPr>
              <w:spacing w:after="20"/>
              <w:ind w:left="20"/>
              <w:jc w:val="both"/>
            </w:pPr>
            <w:r>
              <w:rPr>
                <w:rFonts w:ascii="Times New Roman"/>
                <w:b w:val="false"/>
                <w:i w:val="false"/>
                <w:color w:val="000000"/>
                <w:sz w:val="20"/>
              </w:rPr>
              <w:t>
қысқа мерзімді міндеттемелердің айналымдағы капиталмен жабылу деңгейін көрсетеді</w:t>
            </w:r>
          </w:p>
          <w:p>
            <w:pPr>
              <w:spacing w:after="20"/>
              <w:ind w:left="20"/>
              <w:jc w:val="both"/>
            </w:pPr>
            <w:r>
              <w:rPr>
                <w:rFonts w:ascii="Times New Roman"/>
                <w:b w:val="false"/>
                <w:i w:val="false"/>
                <w:color w:val="000000"/>
                <w:sz w:val="20"/>
              </w:rPr>
              <w:t>
0-ден 10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0,70-тен кем – 0 балл</w:t>
            </w:r>
          </w:p>
          <w:p>
            <w:pPr>
              <w:spacing w:after="20"/>
              <w:ind w:left="20"/>
              <w:jc w:val="both"/>
            </w:pPr>
            <w:r>
              <w:rPr>
                <w:rFonts w:ascii="Times New Roman"/>
                <w:b w:val="false"/>
                <w:i w:val="false"/>
                <w:color w:val="000000"/>
                <w:sz w:val="20"/>
              </w:rPr>
              <w:t>
0,70-тен жоғары 0,75-дейін – 1 балл</w:t>
            </w:r>
          </w:p>
          <w:p>
            <w:pPr>
              <w:spacing w:after="20"/>
              <w:ind w:left="20"/>
              <w:jc w:val="both"/>
            </w:pPr>
            <w:r>
              <w:rPr>
                <w:rFonts w:ascii="Times New Roman"/>
                <w:b w:val="false"/>
                <w:i w:val="false"/>
                <w:color w:val="000000"/>
                <w:sz w:val="20"/>
              </w:rPr>
              <w:t>
0,75-ден жоғары 0,80-дейін – 2 балл</w:t>
            </w:r>
          </w:p>
          <w:p>
            <w:pPr>
              <w:spacing w:after="20"/>
              <w:ind w:left="20"/>
              <w:jc w:val="both"/>
            </w:pPr>
            <w:r>
              <w:rPr>
                <w:rFonts w:ascii="Times New Roman"/>
                <w:b w:val="false"/>
                <w:i w:val="false"/>
                <w:color w:val="000000"/>
                <w:sz w:val="20"/>
              </w:rPr>
              <w:t>
0,80-ден жоғары 0,85-дейін – 3 балл</w:t>
            </w:r>
          </w:p>
          <w:p>
            <w:pPr>
              <w:spacing w:after="20"/>
              <w:ind w:left="20"/>
              <w:jc w:val="both"/>
            </w:pPr>
            <w:r>
              <w:rPr>
                <w:rFonts w:ascii="Times New Roman"/>
                <w:b w:val="false"/>
                <w:i w:val="false"/>
                <w:color w:val="000000"/>
                <w:sz w:val="20"/>
              </w:rPr>
              <w:t>
0,85-ден жоғары 0,90-дейін – 4 балл</w:t>
            </w:r>
          </w:p>
          <w:p>
            <w:pPr>
              <w:spacing w:after="20"/>
              <w:ind w:left="20"/>
              <w:jc w:val="both"/>
            </w:pPr>
            <w:r>
              <w:rPr>
                <w:rFonts w:ascii="Times New Roman"/>
                <w:b w:val="false"/>
                <w:i w:val="false"/>
                <w:color w:val="000000"/>
                <w:sz w:val="20"/>
              </w:rPr>
              <w:t>
0,90-тен жоғары 0,95-дейін – 5 балл</w:t>
            </w:r>
          </w:p>
          <w:p>
            <w:pPr>
              <w:spacing w:after="20"/>
              <w:ind w:left="20"/>
              <w:jc w:val="both"/>
            </w:pPr>
            <w:r>
              <w:rPr>
                <w:rFonts w:ascii="Times New Roman"/>
                <w:b w:val="false"/>
                <w:i w:val="false"/>
                <w:color w:val="000000"/>
                <w:sz w:val="20"/>
              </w:rPr>
              <w:t>
0,95-тен жоғары 1,00-дейін – 6 балл</w:t>
            </w:r>
          </w:p>
          <w:p>
            <w:pPr>
              <w:spacing w:after="20"/>
              <w:ind w:left="20"/>
              <w:jc w:val="both"/>
            </w:pPr>
            <w:r>
              <w:rPr>
                <w:rFonts w:ascii="Times New Roman"/>
                <w:b w:val="false"/>
                <w:i w:val="false"/>
                <w:color w:val="000000"/>
                <w:sz w:val="20"/>
              </w:rPr>
              <w:t>
1,00-ден жоғары 1,05-дейін – 7 балл</w:t>
            </w:r>
          </w:p>
          <w:p>
            <w:pPr>
              <w:spacing w:after="20"/>
              <w:ind w:left="20"/>
              <w:jc w:val="both"/>
            </w:pPr>
            <w:r>
              <w:rPr>
                <w:rFonts w:ascii="Times New Roman"/>
                <w:b w:val="false"/>
                <w:i w:val="false"/>
                <w:color w:val="000000"/>
                <w:sz w:val="20"/>
              </w:rPr>
              <w:t>
1,05-ден жоғары 1,10-дейін – 8 балл</w:t>
            </w:r>
          </w:p>
          <w:p>
            <w:pPr>
              <w:spacing w:after="20"/>
              <w:ind w:left="20"/>
              <w:jc w:val="both"/>
            </w:pPr>
            <w:r>
              <w:rPr>
                <w:rFonts w:ascii="Times New Roman"/>
                <w:b w:val="false"/>
                <w:i w:val="false"/>
                <w:color w:val="000000"/>
                <w:sz w:val="20"/>
              </w:rPr>
              <w:t>
1,10-ден жоғары 1,20-дейін –9 балл</w:t>
            </w:r>
          </w:p>
          <w:p>
            <w:pPr>
              <w:spacing w:after="20"/>
              <w:ind w:left="20"/>
              <w:jc w:val="both"/>
            </w:pPr>
            <w:r>
              <w:rPr>
                <w:rFonts w:ascii="Times New Roman"/>
                <w:b w:val="false"/>
                <w:i w:val="false"/>
                <w:color w:val="000000"/>
                <w:sz w:val="20"/>
              </w:rPr>
              <w:t>
1,20-дан жоғары – 10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 тұрақтылығының көрсеткіштері</w:t>
            </w:r>
          </w:p>
          <w:p>
            <w:pPr>
              <w:spacing w:after="20"/>
              <w:ind w:left="20"/>
              <w:jc w:val="both"/>
            </w:pPr>
            <w:r>
              <w:rPr>
                <w:rFonts w:ascii="Times New Roman"/>
                <w:b w:val="false"/>
                <w:i w:val="false"/>
                <w:color w:val="000000"/>
                <w:sz w:val="20"/>
              </w:rPr>
              <w:t>
(0-ден 30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Автономия коэффициенті (жеке капитал+резервтер/активтер)</w:t>
            </w:r>
          </w:p>
          <w:p>
            <w:pPr>
              <w:spacing w:after="20"/>
              <w:ind w:left="20"/>
              <w:jc w:val="both"/>
            </w:pPr>
            <w:r>
              <w:rPr>
                <w:rFonts w:ascii="Times New Roman"/>
                <w:b w:val="false"/>
                <w:i w:val="false"/>
                <w:color w:val="000000"/>
                <w:sz w:val="20"/>
              </w:rPr>
              <w:t>
Қарыз қаражаты көздерінен ұйымның қаржылық жағдайының тәуелсіздігін анықтайды</w:t>
            </w:r>
          </w:p>
          <w:p>
            <w:pPr>
              <w:spacing w:after="20"/>
              <w:ind w:left="20"/>
              <w:jc w:val="both"/>
            </w:pPr>
            <w:r>
              <w:rPr>
                <w:rFonts w:ascii="Times New Roman"/>
                <w:b w:val="false"/>
                <w:i w:val="false"/>
                <w:color w:val="000000"/>
                <w:sz w:val="20"/>
              </w:rPr>
              <w:t>
0-ден 10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0,10 дейін – 0 балл</w:t>
            </w:r>
          </w:p>
          <w:p>
            <w:pPr>
              <w:spacing w:after="20"/>
              <w:ind w:left="20"/>
              <w:jc w:val="both"/>
            </w:pPr>
            <w:r>
              <w:rPr>
                <w:rFonts w:ascii="Times New Roman"/>
                <w:b w:val="false"/>
                <w:i w:val="false"/>
                <w:color w:val="000000"/>
                <w:sz w:val="20"/>
              </w:rPr>
              <w:t>
0,10-нан жоғары 0,12-дейін – 1 балл</w:t>
            </w:r>
          </w:p>
          <w:p>
            <w:pPr>
              <w:spacing w:after="20"/>
              <w:ind w:left="20"/>
              <w:jc w:val="both"/>
            </w:pPr>
            <w:r>
              <w:rPr>
                <w:rFonts w:ascii="Times New Roman"/>
                <w:b w:val="false"/>
                <w:i w:val="false"/>
                <w:color w:val="000000"/>
                <w:sz w:val="20"/>
              </w:rPr>
              <w:t>
0,12-ден жоғары 0,14-дейін – 2 балл</w:t>
            </w:r>
          </w:p>
          <w:p>
            <w:pPr>
              <w:spacing w:after="20"/>
              <w:ind w:left="20"/>
              <w:jc w:val="both"/>
            </w:pPr>
            <w:r>
              <w:rPr>
                <w:rFonts w:ascii="Times New Roman"/>
                <w:b w:val="false"/>
                <w:i w:val="false"/>
                <w:color w:val="000000"/>
                <w:sz w:val="20"/>
              </w:rPr>
              <w:t>
0,14-ден жоғары 0,16-дейін – 3 балл</w:t>
            </w:r>
          </w:p>
          <w:p>
            <w:pPr>
              <w:spacing w:after="20"/>
              <w:ind w:left="20"/>
              <w:jc w:val="both"/>
            </w:pPr>
            <w:r>
              <w:rPr>
                <w:rFonts w:ascii="Times New Roman"/>
                <w:b w:val="false"/>
                <w:i w:val="false"/>
                <w:color w:val="000000"/>
                <w:sz w:val="20"/>
              </w:rPr>
              <w:t>
0,16-дан жоғары 0,18-дейін – 4 балл</w:t>
            </w:r>
          </w:p>
          <w:p>
            <w:pPr>
              <w:spacing w:after="20"/>
              <w:ind w:left="20"/>
              <w:jc w:val="both"/>
            </w:pPr>
            <w:r>
              <w:rPr>
                <w:rFonts w:ascii="Times New Roman"/>
                <w:b w:val="false"/>
                <w:i w:val="false"/>
                <w:color w:val="000000"/>
                <w:sz w:val="20"/>
              </w:rPr>
              <w:t>
0,18-ден жоғары 0,20-дейін– 5 балл</w:t>
            </w:r>
          </w:p>
          <w:p>
            <w:pPr>
              <w:spacing w:after="20"/>
              <w:ind w:left="20"/>
              <w:jc w:val="both"/>
            </w:pPr>
            <w:r>
              <w:rPr>
                <w:rFonts w:ascii="Times New Roman"/>
                <w:b w:val="false"/>
                <w:i w:val="false"/>
                <w:color w:val="000000"/>
                <w:sz w:val="20"/>
              </w:rPr>
              <w:t>
0,20-ден жоғары 0,22-дейін– 6 балл</w:t>
            </w:r>
          </w:p>
          <w:p>
            <w:pPr>
              <w:spacing w:after="20"/>
              <w:ind w:left="20"/>
              <w:jc w:val="both"/>
            </w:pPr>
            <w:r>
              <w:rPr>
                <w:rFonts w:ascii="Times New Roman"/>
                <w:b w:val="false"/>
                <w:i w:val="false"/>
                <w:color w:val="000000"/>
                <w:sz w:val="20"/>
              </w:rPr>
              <w:t>
0,22-ден жоғары 0,24-дейін– 7 балл</w:t>
            </w:r>
          </w:p>
          <w:p>
            <w:pPr>
              <w:spacing w:after="20"/>
              <w:ind w:left="20"/>
              <w:jc w:val="both"/>
            </w:pPr>
            <w:r>
              <w:rPr>
                <w:rFonts w:ascii="Times New Roman"/>
                <w:b w:val="false"/>
                <w:i w:val="false"/>
                <w:color w:val="000000"/>
                <w:sz w:val="20"/>
              </w:rPr>
              <w:t>
0,24-ден жоғары 0,28-дейін– 8 балл</w:t>
            </w:r>
          </w:p>
          <w:p>
            <w:pPr>
              <w:spacing w:after="20"/>
              <w:ind w:left="20"/>
              <w:jc w:val="both"/>
            </w:pPr>
            <w:r>
              <w:rPr>
                <w:rFonts w:ascii="Times New Roman"/>
                <w:b w:val="false"/>
                <w:i w:val="false"/>
                <w:color w:val="000000"/>
                <w:sz w:val="20"/>
              </w:rPr>
              <w:t>
0,28-ден жоғары 0,30-дейін– 9 балл</w:t>
            </w:r>
          </w:p>
          <w:p>
            <w:pPr>
              <w:spacing w:after="20"/>
              <w:ind w:left="20"/>
              <w:jc w:val="both"/>
            </w:pPr>
            <w:r>
              <w:rPr>
                <w:rFonts w:ascii="Times New Roman"/>
                <w:b w:val="false"/>
                <w:i w:val="false"/>
                <w:color w:val="000000"/>
                <w:sz w:val="20"/>
              </w:rPr>
              <w:t>
0,30-ден жоғары –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Оңтайлылық коэффициенті (жеке айналым қаражаты / жеке капитал)</w:t>
            </w:r>
          </w:p>
          <w:p>
            <w:pPr>
              <w:spacing w:after="20"/>
              <w:ind w:left="20"/>
              <w:jc w:val="both"/>
            </w:pPr>
            <w:r>
              <w:rPr>
                <w:rFonts w:ascii="Times New Roman"/>
                <w:b w:val="false"/>
                <w:i w:val="false"/>
                <w:color w:val="000000"/>
                <w:sz w:val="20"/>
              </w:rPr>
              <w:t>
Ұйымның жеке айналым капиталының деңгейін ұстау қабілетін, қажет болған жағдайда жеке көздерінің есебінен көрсетеді</w:t>
            </w:r>
          </w:p>
          <w:p>
            <w:pPr>
              <w:spacing w:after="20"/>
              <w:ind w:left="20"/>
              <w:jc w:val="both"/>
            </w:pPr>
            <w:r>
              <w:rPr>
                <w:rFonts w:ascii="Times New Roman"/>
                <w:b w:val="false"/>
                <w:i w:val="false"/>
                <w:color w:val="000000"/>
                <w:sz w:val="20"/>
              </w:rPr>
              <w:t>
0-ден 10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0,10 дейін – 0 балл</w:t>
            </w:r>
          </w:p>
          <w:p>
            <w:pPr>
              <w:spacing w:after="20"/>
              <w:ind w:left="20"/>
              <w:jc w:val="both"/>
            </w:pPr>
            <w:r>
              <w:rPr>
                <w:rFonts w:ascii="Times New Roman"/>
                <w:b w:val="false"/>
                <w:i w:val="false"/>
                <w:color w:val="000000"/>
                <w:sz w:val="20"/>
              </w:rPr>
              <w:t>
0,10-нан жоғары 0,12-дейін – 1 балл</w:t>
            </w:r>
          </w:p>
          <w:p>
            <w:pPr>
              <w:spacing w:after="20"/>
              <w:ind w:left="20"/>
              <w:jc w:val="both"/>
            </w:pPr>
            <w:r>
              <w:rPr>
                <w:rFonts w:ascii="Times New Roman"/>
                <w:b w:val="false"/>
                <w:i w:val="false"/>
                <w:color w:val="000000"/>
                <w:sz w:val="20"/>
              </w:rPr>
              <w:t>
0,12-ден жоғары 0,14-дейін – 2 балл</w:t>
            </w:r>
          </w:p>
          <w:p>
            <w:pPr>
              <w:spacing w:after="20"/>
              <w:ind w:left="20"/>
              <w:jc w:val="both"/>
            </w:pPr>
            <w:r>
              <w:rPr>
                <w:rFonts w:ascii="Times New Roman"/>
                <w:b w:val="false"/>
                <w:i w:val="false"/>
                <w:color w:val="000000"/>
                <w:sz w:val="20"/>
              </w:rPr>
              <w:t>
0,14-ден жоғары 0,16-дейін – 3 балл</w:t>
            </w:r>
          </w:p>
          <w:p>
            <w:pPr>
              <w:spacing w:after="20"/>
              <w:ind w:left="20"/>
              <w:jc w:val="both"/>
            </w:pPr>
            <w:r>
              <w:rPr>
                <w:rFonts w:ascii="Times New Roman"/>
                <w:b w:val="false"/>
                <w:i w:val="false"/>
                <w:color w:val="000000"/>
                <w:sz w:val="20"/>
              </w:rPr>
              <w:t>
0,16-дан жоғары 0,18-дейін – 4 балл</w:t>
            </w:r>
          </w:p>
          <w:p>
            <w:pPr>
              <w:spacing w:after="20"/>
              <w:ind w:left="20"/>
              <w:jc w:val="both"/>
            </w:pPr>
            <w:r>
              <w:rPr>
                <w:rFonts w:ascii="Times New Roman"/>
                <w:b w:val="false"/>
                <w:i w:val="false"/>
                <w:color w:val="000000"/>
                <w:sz w:val="20"/>
              </w:rPr>
              <w:t>
0,18-ден жоғары 0,20-дейін– 5 балл</w:t>
            </w:r>
          </w:p>
          <w:p>
            <w:pPr>
              <w:spacing w:after="20"/>
              <w:ind w:left="20"/>
              <w:jc w:val="both"/>
            </w:pPr>
            <w:r>
              <w:rPr>
                <w:rFonts w:ascii="Times New Roman"/>
                <w:b w:val="false"/>
                <w:i w:val="false"/>
                <w:color w:val="000000"/>
                <w:sz w:val="20"/>
              </w:rPr>
              <w:t>
0,20-ден жоғары 0,22-дейін– 6 балл</w:t>
            </w:r>
          </w:p>
          <w:p>
            <w:pPr>
              <w:spacing w:after="20"/>
              <w:ind w:left="20"/>
              <w:jc w:val="both"/>
            </w:pPr>
            <w:r>
              <w:rPr>
                <w:rFonts w:ascii="Times New Roman"/>
                <w:b w:val="false"/>
                <w:i w:val="false"/>
                <w:color w:val="000000"/>
                <w:sz w:val="20"/>
              </w:rPr>
              <w:t>
0,22-ден жоғары 0,24-дейін– 7 балл</w:t>
            </w:r>
          </w:p>
          <w:p>
            <w:pPr>
              <w:spacing w:after="20"/>
              <w:ind w:left="20"/>
              <w:jc w:val="both"/>
            </w:pPr>
            <w:r>
              <w:rPr>
                <w:rFonts w:ascii="Times New Roman"/>
                <w:b w:val="false"/>
                <w:i w:val="false"/>
                <w:color w:val="000000"/>
                <w:sz w:val="20"/>
              </w:rPr>
              <w:t>
0,24-ден жоғары 0,28-дейін– 8 балл</w:t>
            </w:r>
          </w:p>
          <w:p>
            <w:pPr>
              <w:spacing w:after="20"/>
              <w:ind w:left="20"/>
              <w:jc w:val="both"/>
            </w:pPr>
            <w:r>
              <w:rPr>
                <w:rFonts w:ascii="Times New Roman"/>
                <w:b w:val="false"/>
                <w:i w:val="false"/>
                <w:color w:val="000000"/>
                <w:sz w:val="20"/>
              </w:rPr>
              <w:t>
0,28-ден жоғары 0,30-дейін– 9 балл</w:t>
            </w:r>
          </w:p>
          <w:p>
            <w:pPr>
              <w:spacing w:after="20"/>
              <w:ind w:left="20"/>
              <w:jc w:val="both"/>
            </w:pPr>
            <w:r>
              <w:rPr>
                <w:rFonts w:ascii="Times New Roman"/>
                <w:b w:val="false"/>
                <w:i w:val="false"/>
                <w:color w:val="000000"/>
                <w:sz w:val="20"/>
              </w:rPr>
              <w:t>
0,30-ден жоғары –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Қаржылық иінтірек коэффициенті (қысқа мерзімді және ұзақ мерзімді қаржылық міндеттемелер/жеке капитал)</w:t>
            </w:r>
          </w:p>
          <w:p>
            <w:pPr>
              <w:spacing w:after="20"/>
              <w:ind w:left="20"/>
              <w:jc w:val="both"/>
            </w:pPr>
            <w:r>
              <w:rPr>
                <w:rFonts w:ascii="Times New Roman"/>
                <w:b w:val="false"/>
                <w:i w:val="false"/>
                <w:color w:val="000000"/>
                <w:sz w:val="20"/>
              </w:rPr>
              <w:t>
Жеке капитал есебінен активтерді қалыптастыру деңгейін көрсетеді және құрылыс салушының қарыз көздерінен тәуелсіздігін көрсетеді. Кәсіпорынның қарыз көздерінен тәуелсіздігін сипаттайды. Ұсынылатын мәні – 4-тен жоғары емес</w:t>
            </w:r>
          </w:p>
          <w:p>
            <w:pPr>
              <w:spacing w:after="20"/>
              <w:ind w:left="20"/>
              <w:jc w:val="both"/>
            </w:pPr>
            <w:r>
              <w:rPr>
                <w:rFonts w:ascii="Times New Roman"/>
                <w:b w:val="false"/>
                <w:i w:val="false"/>
                <w:color w:val="000000"/>
                <w:sz w:val="20"/>
              </w:rPr>
              <w:t>
0-ден 10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жоғары – 0 балл</w:t>
            </w:r>
          </w:p>
          <w:p>
            <w:pPr>
              <w:spacing w:after="20"/>
              <w:ind w:left="20"/>
              <w:jc w:val="both"/>
            </w:pPr>
            <w:r>
              <w:rPr>
                <w:rFonts w:ascii="Times New Roman"/>
                <w:b w:val="false"/>
                <w:i w:val="false"/>
                <w:color w:val="000000"/>
                <w:sz w:val="20"/>
              </w:rPr>
              <w:t>
6,0-ден жоғары 6,5-дейін – 1 балл</w:t>
            </w:r>
          </w:p>
          <w:p>
            <w:pPr>
              <w:spacing w:after="20"/>
              <w:ind w:left="20"/>
              <w:jc w:val="both"/>
            </w:pPr>
            <w:r>
              <w:rPr>
                <w:rFonts w:ascii="Times New Roman"/>
                <w:b w:val="false"/>
                <w:i w:val="false"/>
                <w:color w:val="000000"/>
                <w:sz w:val="20"/>
              </w:rPr>
              <w:t>
5,5-ден жоғары 6,0-дейін – 2 балл</w:t>
            </w:r>
          </w:p>
          <w:p>
            <w:pPr>
              <w:spacing w:after="20"/>
              <w:ind w:left="20"/>
              <w:jc w:val="both"/>
            </w:pPr>
            <w:r>
              <w:rPr>
                <w:rFonts w:ascii="Times New Roman"/>
                <w:b w:val="false"/>
                <w:i w:val="false"/>
                <w:color w:val="000000"/>
                <w:sz w:val="20"/>
              </w:rPr>
              <w:t>
5,0-ден жоғары 5,5-дейін – 3 балл</w:t>
            </w:r>
          </w:p>
          <w:p>
            <w:pPr>
              <w:spacing w:after="20"/>
              <w:ind w:left="20"/>
              <w:jc w:val="both"/>
            </w:pPr>
            <w:r>
              <w:rPr>
                <w:rFonts w:ascii="Times New Roman"/>
                <w:b w:val="false"/>
                <w:i w:val="false"/>
                <w:color w:val="000000"/>
                <w:sz w:val="20"/>
              </w:rPr>
              <w:t>
4,5-дан жоғары 5,0-дейін – 4 балл</w:t>
            </w:r>
          </w:p>
          <w:p>
            <w:pPr>
              <w:spacing w:after="20"/>
              <w:ind w:left="20"/>
              <w:jc w:val="both"/>
            </w:pPr>
            <w:r>
              <w:rPr>
                <w:rFonts w:ascii="Times New Roman"/>
                <w:b w:val="false"/>
                <w:i w:val="false"/>
                <w:color w:val="000000"/>
                <w:sz w:val="20"/>
              </w:rPr>
              <w:t>
4,0-ден жоғары 4,5-дейін– 5 балл</w:t>
            </w:r>
          </w:p>
          <w:p>
            <w:pPr>
              <w:spacing w:after="20"/>
              <w:ind w:left="20"/>
              <w:jc w:val="both"/>
            </w:pPr>
            <w:r>
              <w:rPr>
                <w:rFonts w:ascii="Times New Roman"/>
                <w:b w:val="false"/>
                <w:i w:val="false"/>
                <w:color w:val="000000"/>
                <w:sz w:val="20"/>
              </w:rPr>
              <w:t>
3,5-ден жоғары 4,0-дейін– 6 балл</w:t>
            </w:r>
          </w:p>
          <w:p>
            <w:pPr>
              <w:spacing w:after="20"/>
              <w:ind w:left="20"/>
              <w:jc w:val="both"/>
            </w:pPr>
            <w:r>
              <w:rPr>
                <w:rFonts w:ascii="Times New Roman"/>
                <w:b w:val="false"/>
                <w:i w:val="false"/>
                <w:color w:val="000000"/>
                <w:sz w:val="20"/>
              </w:rPr>
              <w:t>
3,0-ден жоғары 3,5-дейін– 7 балл</w:t>
            </w:r>
          </w:p>
          <w:p>
            <w:pPr>
              <w:spacing w:after="20"/>
              <w:ind w:left="20"/>
              <w:jc w:val="both"/>
            </w:pPr>
            <w:r>
              <w:rPr>
                <w:rFonts w:ascii="Times New Roman"/>
                <w:b w:val="false"/>
                <w:i w:val="false"/>
                <w:color w:val="000000"/>
                <w:sz w:val="20"/>
              </w:rPr>
              <w:t>
2,5-ден жоғары 3,0-дейін– 8 балл</w:t>
            </w:r>
          </w:p>
          <w:p>
            <w:pPr>
              <w:spacing w:after="20"/>
              <w:ind w:left="20"/>
              <w:jc w:val="both"/>
            </w:pPr>
            <w:r>
              <w:rPr>
                <w:rFonts w:ascii="Times New Roman"/>
                <w:b w:val="false"/>
                <w:i w:val="false"/>
                <w:color w:val="000000"/>
                <w:sz w:val="20"/>
              </w:rPr>
              <w:t>
2,0-ден жоғары 2,5-дейін– 9 балл</w:t>
            </w:r>
          </w:p>
          <w:p>
            <w:pPr>
              <w:spacing w:after="20"/>
              <w:ind w:left="20"/>
              <w:jc w:val="both"/>
            </w:pPr>
            <w:r>
              <w:rPr>
                <w:rFonts w:ascii="Times New Roman"/>
                <w:b w:val="false"/>
                <w:i w:val="false"/>
                <w:color w:val="000000"/>
                <w:sz w:val="20"/>
              </w:rPr>
              <w:t>
2,0-ден төмен – 10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 салушы-компаниясының жұмыс тәжірибесі</w:t>
            </w:r>
          </w:p>
          <w:p>
            <w:pPr>
              <w:spacing w:after="20"/>
              <w:ind w:left="20"/>
              <w:jc w:val="both"/>
            </w:pPr>
            <w:r>
              <w:rPr>
                <w:rFonts w:ascii="Times New Roman"/>
                <w:b w:val="false"/>
                <w:i w:val="false"/>
                <w:color w:val="000000"/>
                <w:sz w:val="20"/>
              </w:rPr>
              <w:t>
(1-ден 10 балға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тұрғын үйдің ауданының (шаршы метрлерінің) көлемі немесе пайдалануға берілген тұрғын үйдің (шаршы метрлерінің) көлемі</w:t>
            </w:r>
          </w:p>
          <w:p>
            <w:pPr>
              <w:spacing w:after="20"/>
              <w:ind w:left="20"/>
              <w:jc w:val="both"/>
            </w:pPr>
            <w:r>
              <w:rPr>
                <w:rFonts w:ascii="Times New Roman"/>
                <w:b w:val="false"/>
                <w:i w:val="false"/>
                <w:color w:val="000000"/>
                <w:sz w:val="20"/>
              </w:rPr>
              <w:t>
1-ден 10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 астанада салу кезінде, мың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әкімшілік-аумақтық бірліктерде салу кезінде, мың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Заңдық көрсеткіштері</w:t>
            </w:r>
          </w:p>
          <w:p>
            <w:pPr>
              <w:spacing w:after="20"/>
              <w:ind w:left="20"/>
              <w:jc w:val="both"/>
            </w:pPr>
            <w:r>
              <w:rPr>
                <w:rFonts w:ascii="Times New Roman"/>
                <w:b w:val="false"/>
                <w:i w:val="false"/>
                <w:color w:val="000000"/>
                <w:sz w:val="20"/>
              </w:rPr>
              <w:t>
(0-ден 20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күшіне енген, бірақ орындалмаған үшінші тұлғалардың талабы бойынша құрылыс салушыға қатысты мүліктік сипаттағы сот шешімдері (талаптардың жалпы сомасы/жеке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және жоғары – 0 балл</w:t>
            </w:r>
          </w:p>
          <w:p>
            <w:pPr>
              <w:spacing w:after="20"/>
              <w:ind w:left="20"/>
              <w:jc w:val="both"/>
            </w:pPr>
            <w:r>
              <w:rPr>
                <w:rFonts w:ascii="Times New Roman"/>
                <w:b w:val="false"/>
                <w:i w:val="false"/>
                <w:color w:val="000000"/>
                <w:sz w:val="20"/>
              </w:rPr>
              <w:t>
3 %-дан 5% дейін – 5 балл</w:t>
            </w:r>
          </w:p>
          <w:p>
            <w:pPr>
              <w:spacing w:after="20"/>
              <w:ind w:left="20"/>
              <w:jc w:val="both"/>
            </w:pPr>
            <w:r>
              <w:rPr>
                <w:rFonts w:ascii="Times New Roman"/>
                <w:b w:val="false"/>
                <w:i w:val="false"/>
                <w:color w:val="000000"/>
                <w:sz w:val="20"/>
              </w:rPr>
              <w:t>
0 % -дан 3 % дейін –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күшіне енген, бірақ орындалмаған үшінші тұлғалардың талабы бойынша уәкілетті компанияға қатысты мүліктік сипаттағы сот шешімдері (талаптардың жалпы сомасы/жеке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және жоғары – 0 балл</w:t>
            </w:r>
          </w:p>
          <w:p>
            <w:pPr>
              <w:spacing w:after="20"/>
              <w:ind w:left="20"/>
              <w:jc w:val="both"/>
            </w:pPr>
            <w:r>
              <w:rPr>
                <w:rFonts w:ascii="Times New Roman"/>
                <w:b w:val="false"/>
                <w:i w:val="false"/>
                <w:color w:val="000000"/>
                <w:sz w:val="20"/>
              </w:rPr>
              <w:t>
3 %-дан 5% дейін – 5 балл</w:t>
            </w:r>
          </w:p>
          <w:p>
            <w:pPr>
              <w:spacing w:after="20"/>
              <w:ind w:left="20"/>
              <w:jc w:val="both"/>
            </w:pPr>
            <w:r>
              <w:rPr>
                <w:rFonts w:ascii="Times New Roman"/>
                <w:b w:val="false"/>
                <w:i w:val="false"/>
                <w:color w:val="000000"/>
                <w:sz w:val="20"/>
              </w:rPr>
              <w:t>
0 % -дан 3 % дейін – 10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Құрылысты аяқтауға берілген кепілдіктер саны</w:t>
            </w:r>
          </w:p>
          <w:p>
            <w:pPr>
              <w:spacing w:after="20"/>
              <w:ind w:left="20"/>
              <w:jc w:val="both"/>
            </w:pPr>
            <w:r>
              <w:rPr>
                <w:rFonts w:ascii="Times New Roman"/>
                <w:b w:val="false"/>
                <w:i w:val="false"/>
                <w:color w:val="000000"/>
                <w:sz w:val="20"/>
              </w:rPr>
              <w:t>
(0-ден 10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оператордың кепілдігін алған пайдалануға берілген объектілердің саны, бүкіл кезең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 балл</w:t>
            </w:r>
          </w:p>
          <w:p>
            <w:pPr>
              <w:spacing w:after="20"/>
              <w:ind w:left="20"/>
              <w:jc w:val="both"/>
            </w:pPr>
            <w:r>
              <w:rPr>
                <w:rFonts w:ascii="Times New Roman"/>
                <w:b w:val="false"/>
                <w:i w:val="false"/>
                <w:color w:val="000000"/>
                <w:sz w:val="20"/>
              </w:rPr>
              <w:t>
1 – 5 балл</w:t>
            </w:r>
          </w:p>
          <w:p>
            <w:pPr>
              <w:spacing w:after="20"/>
              <w:ind w:left="20"/>
              <w:jc w:val="both"/>
            </w:pPr>
            <w:r>
              <w:rPr>
                <w:rFonts w:ascii="Times New Roman"/>
                <w:b w:val="false"/>
                <w:i w:val="false"/>
                <w:color w:val="000000"/>
                <w:sz w:val="20"/>
              </w:rPr>
              <w:t>
2 – 7 балл</w:t>
            </w:r>
          </w:p>
          <w:p>
            <w:pPr>
              <w:spacing w:after="20"/>
              <w:ind w:left="20"/>
              <w:jc w:val="both"/>
            </w:pPr>
            <w:r>
              <w:rPr>
                <w:rFonts w:ascii="Times New Roman"/>
                <w:b w:val="false"/>
                <w:i w:val="false"/>
                <w:color w:val="000000"/>
                <w:sz w:val="20"/>
              </w:rPr>
              <w:t>
3 және жоғары – 10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Ұзартулар саны</w:t>
            </w:r>
          </w:p>
          <w:p>
            <w:pPr>
              <w:spacing w:after="20"/>
              <w:ind w:left="20"/>
              <w:jc w:val="both"/>
            </w:pPr>
            <w:r>
              <w:rPr>
                <w:rFonts w:ascii="Times New Roman"/>
                <w:b w:val="false"/>
                <w:i w:val="false"/>
                <w:color w:val="000000"/>
                <w:sz w:val="20"/>
              </w:rPr>
              <w:t>
(-5-тен 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оператордың кепілдігін алған пайдалануға берілген объектілердің мерзімін ұзартудың ең көп саны, соңғы 2 жыл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балл</w:t>
            </w:r>
          </w:p>
          <w:p>
            <w:pPr>
              <w:spacing w:after="20"/>
              <w:ind w:left="20"/>
              <w:jc w:val="both"/>
            </w:pPr>
            <w:r>
              <w:rPr>
                <w:rFonts w:ascii="Times New Roman"/>
                <w:b w:val="false"/>
                <w:i w:val="false"/>
                <w:color w:val="000000"/>
                <w:sz w:val="20"/>
              </w:rPr>
              <w:t>
2 – (-3) балл</w:t>
            </w:r>
          </w:p>
          <w:p>
            <w:pPr>
              <w:spacing w:after="20"/>
              <w:ind w:left="20"/>
              <w:jc w:val="both"/>
            </w:pPr>
            <w:r>
              <w:rPr>
                <w:rFonts w:ascii="Times New Roman"/>
                <w:b w:val="false"/>
                <w:i w:val="false"/>
                <w:color w:val="000000"/>
                <w:sz w:val="20"/>
              </w:rPr>
              <w:t>
1 – (-1) балл</w:t>
            </w:r>
          </w:p>
          <w:p>
            <w:pPr>
              <w:spacing w:after="20"/>
              <w:ind w:left="20"/>
              <w:jc w:val="both"/>
            </w:pPr>
            <w:r>
              <w:rPr>
                <w:rFonts w:ascii="Times New Roman"/>
                <w:b w:val="false"/>
                <w:i w:val="false"/>
                <w:color w:val="000000"/>
                <w:sz w:val="20"/>
              </w:rPr>
              <w:t>
0 – 0 балл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