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078c" w14:textId="5e80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2016 жылғы 25 тамыздағы № 6С-8/4 шешімі. Ақмола облысының Әділет департаментінде 2016 жылғы 16 қыркүйекте № 5531 болып тіркелді. Күші жойылды - Ақмола облысы Степногорск қалалық мәслихатының 2024 жылғы 9 ақпандағы № 8С-10/2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00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Степногорск қалалық мәслихатының 2013 жылғы 24 желтоқсандағы № 5С-25/8 (Нормативтік құқықтық актілерді мемлекеттік тіркеу тізілімінде № 3992 болып тіркелген, 2014 жылғы 30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тармақшалары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ұйым – "Азаматтарға арналған үкімет" мемлекеттік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 Степногорск аудандық бөлімшесі;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қала әкімінің шешімімен құрылатын комиссия;";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9-тармағы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Әлеуметтік көмек алушылардың келесі санаттарына: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 төмен зейнетақы алатын және жасы бойынша мемлекеттік әлеуметтік жәрдемақы алатын егде жастағы тұлғаларға;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 3 топтағы мүгедектерге;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мүгедек балаларға;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қатерлі ісік ауруымен ауыратындарға;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туберкулезбен ауыратындарға;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жетім және көп балалы, аз қамтылған отбасылардың студенттеріне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ең төмен күнкөріс деңгейінің 1,7 еселік мөлшерінен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12-тармағы</w:t>
      </w:r>
      <w:r>
        <w:rPr>
          <w:rFonts w:ascii="Times New Roman"/>
          <w:b w:val="false"/>
          <w:i w:val="false"/>
          <w:color w:val="000000"/>
          <w:sz w:val="28"/>
        </w:rPr>
        <w:t xml:space="preserve"> келесі мазмұндағы 1-1) тармақшасымен толықтырылсын: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Степногорск қаласының мемлекеттік медициналық мекемелерімен жұмысқа орналасу туралы шарт жасаған, жоғарғы медициналық оқу орындарында оқитын жетім және көп балалы, аз қамтылған отбасылардың студенттеріне, жетім, көп балалы отбасы санатын растайтын анықтама немесе өтініш берушінің (отбасының) атаулы әлеуметтік көмек алушыларға жататынын растайтын анықтама негізінде жылдық оқу құны мөлшерінде төлемге жергілікті бюджет есебінен;".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Қалалық</w:t>
            </w:r>
            <w:r>
              <w:rPr>
                <w:rFonts w:ascii="Times New Roman"/>
                <w:b w:val="false"/>
                <w:i/>
                <w:color w:val="000000"/>
                <w:sz w:val="20"/>
              </w:rPr>
              <w:t xml:space="preserve">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А.Дүйсенов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Қалалық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25.08.2016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