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e95e" w14:textId="2b4e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Қорғалжын ауданының пайдаланылмайтын ауыл шаруашылығы мақсатындағы жерлерге жер салығының базалық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2016 жылғы 11 тамыздағы № 3/5 шешімі. Ақмола облысының Әділет департаментінде 2016 жылғы 19 қыркүйекте № 5534 болып тіркелді. Күші жойылды - Ақмола облысы Қорғалжын аудандық мәслихатының 2018 жылғы 13 ақпандағы № 1/25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Қорғалжын аудандық мәслихатының 13.02.2018 </w:t>
      </w:r>
      <w:r>
        <w:rPr>
          <w:rFonts w:ascii="Times New Roman"/>
          <w:b w:val="false"/>
          <w:i w:val="false"/>
          <w:color w:val="ff0000"/>
          <w:sz w:val="28"/>
        </w:rPr>
        <w:t>№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 (Салық кодексі)" Кодексінің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жер заңнамасына сәйкес, Қорғалжын ауданының пайдаланылмайтын ауыл шаруашылығы мақсатындағы жерлерге "Салық және бюджетке төленетін басқа да міндетті төлемдер туралы" "Салық кодексі)"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378-бабымен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он есе жоғарылатылсын.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Ж.Темірбек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Ө.Балғабаев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Қ.Рыскелдінов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11.08.2016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Қорғалжын ауданы 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М.Алибекова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11.08.2016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