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6dd" w14:textId="3668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шекарасындағы пайдаланылмайтын ауыл шаруашылығы мақсатындағы жерлерге жер салығының мөлшерлемелерін және біріңғай жер салығының мөлшерлемелерін Қазақстан Республикасының жер заңнамасына сәйкес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20 мамырдағы № 3/6 шешімі. Ақмола облысының Әділет департаментінде 2016 жылғы 17 маусымда № 5423 болып тіркелді. Күші жойылды - Ақмола облысы Сандықтау аудандық мәслихатының 2016 жылғы 23 қарашадағы № 8/3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аудандық мәслихатының 23.11.2016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ауданының шекарасындағы пайдаланылмайтын ауыл шаруашылығы мақсатындағы жерлерге жер салығының мөлшерлемелерін және біріңғай жер салығының мөлшерлемелерін Қазақстан Республикасының жер заңнамасына сәйкес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департаменттерінің Сандықтау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