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9025" w14:textId="95f9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мүгедектері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2016 жылғы 21 қазандағы № 4405 қаулысы. Ақтөбе облысының Әділет департаментінде 2016 жылғы 9 қарашада № 5125 болып тіркелді. Күші жойылды - Ақтөбе облысы Ақтөбе қаласы әкімдігінің 2022 жылғы 23 ақпандағы № 927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23.02.2022 № 927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туралы", нормативтік құқықтық актілерді мемлекеттік тіркеу Тізілімінде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мүгедектері үшін жұмыс орындарының квотасы ауыр жұмыстарды, еңбек жағдайлары зиянды, қауіпті жұмыстардағы жұмыс орындарын есептемегенде: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екі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үш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 адамнан жоғары – төрт пайыз мөлшерінде жұмыс орындары санынан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М.Қабылға жүктелсін.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