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e046d" w14:textId="19e0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"Әйтеке би ауданында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2016 жылғы 11 мамырдағы № 33 аудандық мәслихаттың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29 желтоқсандағы № 95 шешімі. Ақтөбе облысының Әділет департаментінде 2017 жылғы 18 қаңтарда № 5232 болып тіркелді. Күші жойылды - Ақтөбе облысы Әйтеке би аудандық мәслихатының 2018 жылғы 2 наурыздағы № 193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аудандық мәслихатының 02.03.2018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11 мамырдағы № 33 "Әйтеке би ауданында пайдаланылмайтын ауыл шаруашылығы мақсатындағы жерлерге жер салығының базалық мөлшерлемелерін және біріңғай жер салығының мөлшерлемелерін жоғарылату туралы" (номативтік құқықтық актілерді мемлекеттік тіркеу тізілімінде № 4940 тіркелген, 2016 жылғы 2 маусымдағы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"Әйтеке би ауданында" сөздерінен кейін "Қазақстан Республикасының жер заңнамасына сәйкес" сөздерімен толықтырылсын.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