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631b" w14:textId="c3a6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2016 жылғы 23 тамыздағы № 8-4 шешімі. Алматы облысы Әділет департаментінде 2016 жылы 21 қыркүйекте № 3962 болып тіркелді. Күші жойылды - Алматы облысы Көксу аудандық мәслихатының 2017 жылғы 03 қарашадағы № 22-3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аудандық мәслихатының 03.11.2017 </w:t>
      </w:r>
      <w:r>
        <w:rPr>
          <w:rFonts w:ascii="Times New Roman"/>
          <w:b w:val="false"/>
          <w:i w:val="false"/>
          <w:color w:val="ff0000"/>
          <w:sz w:val="28"/>
        </w:rPr>
        <w:t>№ 22-3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Көксу ауданы мәслихатының 2014 жылғы 15 қазандағы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17 қарашасында № 2919 тіркелген, аудандық "Нұрлы Көксу" газетінде 2014 жылдың 21 қарашасында № 47 (4722) жарияланған) № 35-7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"Көксу ауданының жұмыспен қамту және әлеуметтік бағдарламалар бөлімі" мемлекеттік мекемесінің басшысына (келісім бойынша А. Шаяхметова)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Жүнісов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2016 жылғы 23 тамыздағы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8-4 шешіміне қосымша</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Алмата қалалары бюджеттерінің 2016 жылға арналған республикалык бюджеттен "Өрлеу" жобасы бойынша шартты ақшалай көмекті ендіруге берілетін ағымдағы нысаналы трасферттерді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ауыл, ауылдық округ әкіміне (бұдан әрі - ауылдық округ әкімі) өтініш білдерген үметкермен консультациялар, әңгімелесу өткізу, отбасының белсенділігін арттырудын әлеуметтік келісім 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 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ұйымдарының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белсенділгін арттырудың әлеуметтік келісімшарт талаптары бойынша жан басына шаққандағы орташа айлық табысы ең төменгі күнкөріс деңгейінің 60 пайзынан төмен жеке тұлғаларға немесе отбасыларға мемлекет беретін ақшалай нысанындағы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3" w:id="5"/>
    <w:p>
      <w:pPr>
        <w:spacing w:after="0"/>
        <w:ind w:left="0"/>
        <w:jc w:val="left"/>
      </w:pPr>
      <w:r>
        <w:rPr>
          <w:rFonts w:ascii="Times New Roman"/>
          <w:b/>
          <w:i w:val="false"/>
          <w:color w:val="000000"/>
        </w:rPr>
        <w:t xml:space="preserve"> 2. Әлеуметтік көмек алушылар санаттарының тізбесін айқындау </w:t>
      </w:r>
      <w:r>
        <w:rPr>
          <w:rFonts w:ascii="Times New Roman"/>
          <w:b/>
          <w:i w:val="false"/>
          <w:color w:val="000000"/>
        </w:rPr>
        <w:t>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r>
        <w:br/>
      </w:r>
      <w:r>
        <w:rPr>
          <w:rFonts w:ascii="Times New Roman"/>
          <w:b w:val="false"/>
          <w:i w:val="false"/>
          <w:color w:val="000000"/>
          <w:sz w:val="28"/>
        </w:rPr>
        <w:t xml:space="preserve">
      </w:t>
      </w:r>
      <w:r>
        <w:rPr>
          <w:rFonts w:ascii="Times New Roman"/>
          <w:b w:val="false"/>
          <w:i w:val="false"/>
          <w:color w:val="000000"/>
          <w:sz w:val="28"/>
        </w:rPr>
        <w:t>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табыс ШАК тағайындауға өтініш білдірген айдың алдындағы үш айда алынған жиынтық табысы отбасы мүшелерінің санына және үш айға бөлу арқылы есептеледі және отбасының белсенділігін арттырудың әлеуметтік келісімшартты қолданылатын мерсім ішінде қайтарылмайды.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 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шарушылықты дамытуға (үй малын, құсын және т. б. сатып алу), жеке кәсіпкерлік қызыметті ұйымдастыруға пайдалануға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w:t>
      </w:r>
      <w:r>
        <w:br/>
      </w:r>
      <w:r>
        <w:rPr>
          <w:rFonts w:ascii="Times New Roman"/>
          <w:b w:val="false"/>
          <w:i w:val="false"/>
          <w:color w:val="000000"/>
          <w:sz w:val="28"/>
        </w:rPr>
        <w:t xml:space="preserve">
      </w:t>
      </w:r>
      <w:r>
        <w:rPr>
          <w:rFonts w:ascii="Times New Roman"/>
          <w:b w:val="false"/>
          <w:i w:val="false"/>
          <w:color w:val="000000"/>
          <w:sz w:val="28"/>
        </w:rPr>
        <w:t xml:space="preserve">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айқындалды.</w:t>
      </w:r>
      <w:r>
        <w:br/>
      </w:r>
      <w:r>
        <w:rPr>
          <w:rFonts w:ascii="Times New Roman"/>
          <w:b w:val="false"/>
          <w:i w:val="false"/>
          <w:color w:val="000000"/>
          <w:sz w:val="28"/>
        </w:rPr>
        <w:t xml:space="preserve">
      </w:t>
      </w:r>
      <w:r>
        <w:rPr>
          <w:rFonts w:ascii="Times New Roman"/>
          <w:b w:val="false"/>
          <w:i w:val="false"/>
          <w:color w:val="000000"/>
          <w:sz w:val="28"/>
        </w:rPr>
        <w:t>Әңгімелесу нәтижелері бойынша "Өрлеу" жобасына қатысуға арналған</w:t>
      </w:r>
      <w:r>
        <w:rPr>
          <w:rFonts w:ascii="Times New Roman"/>
          <w:b w:val="false"/>
          <w:i w:val="false"/>
          <w:color w:val="000000"/>
          <w:sz w:val="28"/>
        </w:rPr>
        <w:t xml:space="preserve">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w:t>
      </w:r>
      <w:r>
        <w:br/>
      </w:r>
      <w:r>
        <w:rPr>
          <w:rFonts w:ascii="Times New Roman"/>
          <w:b w:val="false"/>
          <w:i w:val="false"/>
          <w:color w:val="000000"/>
          <w:sz w:val="28"/>
        </w:rPr>
        <w:t xml:space="preserve">
      </w:t>
      </w:r>
      <w:r>
        <w:rPr>
          <w:rFonts w:ascii="Times New Roman"/>
          <w:b w:val="false"/>
          <w:i w:val="false"/>
          <w:color w:val="000000"/>
          <w:sz w:val="28"/>
        </w:rPr>
        <w:t>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Бұйрықпен бектіліген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 (қорғаншылықтың) белгіленгенін растайтын құжат (қажет болған жағдайда) ;</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 – 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берушінің құжаттарын учаскелік комиссияның қорытындысымен қоса, олар қабылданған күннен бастап он жұмыс күннен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1) ауылдық округ әкімінен немесе учаскелік комиссиядан құжаттарды алғаннан кейін бір жұмыс күні ішінді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 тармағында көзделген жағдайларды және бірінші, екінші топ мүгедектерін, білім алушыларды,студенттерді,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күннен кешіктірмей олармен әлеуметтік келісімшарттар жасады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3) әлеуметтік келісімшарттардың көшірмелерін алғаннан кейін екі жұмыс күні ішінде өтініш берушіні және (немесе) оның отбасы мүшелерін Бұйрықпен бекітілген нысандарға сәйкес және жоспарды әзірлеу және отбасының белсенділігін арттырудың әлеуметтік келісімшартын жасасасу үшін шақырады;</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 шараларды қамтитын (отбасында осындай бейімделуге мұқтаж адам болған жағдайда) және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 - ақ скринингтік қарап тексерулерден өту, әлеуметтік маңызы бар аурулар (маскүнемдік, нашақорлық, туберкулез) болған кезде емделуге бейімделігі,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үзартылған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органға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жәрдемдемудің мемлекеттік шараларына қатысатын басқа да еңбекке қабілетті мүшелер болған кезде отбасының еңбекке қабілетті мүшесі жетң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қоспағанада,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төйлеуді жүзеге асырады.</w:t>
      </w:r>
    </w:p>
    <w:bookmarkEnd w:id="8"/>
    <w:bookmarkStart w:name="z126"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7"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4" w:id="11"/>
    <w:p>
      <w:pPr>
        <w:spacing w:after="0"/>
        <w:ind w:left="0"/>
        <w:jc w:val="left"/>
      </w:pPr>
      <w:r>
        <w:rPr>
          <w:rFonts w:ascii="Times New Roman"/>
          <w:b/>
          <w:i w:val="false"/>
          <w:color w:val="000000"/>
        </w:rPr>
        <w:t xml:space="preserve"> 5. Қорытынды ереже</w:t>
      </w:r>
    </w:p>
    <w:bookmarkEnd w:id="11"/>
    <w:bookmarkStart w:name="z135"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