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5183" w14:textId="1d35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2016 жылғы 01 сәуірдегі № 6-2-09 шешімі. Алматы облысы Әділет департаментінде 2016 жылы 05 мамырда № 3797 болып тіркелді. Күші жойылды - Алматы облысы Ұйғыр аудандық мәслихатының 2017 жылғы 17 наурыздағы № 6-12-81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Ұйғыр аудандық мәслихатының 17.03.2017 </w:t>
      </w:r>
      <w:r>
        <w:rPr>
          <w:rFonts w:ascii="Times New Roman"/>
          <w:b w:val="false"/>
          <w:i w:val="false"/>
          <w:color w:val="ff0000"/>
          <w:sz w:val="28"/>
        </w:rPr>
        <w:t>№ 6-12-81</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Ұйғыр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Манапова Арзигуль Гопуровнаға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Манапова Арзигуль Гопуровнаға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Дауренбеков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2016 жылғы 01 сәуірдегі № 6-02-09 шешімімен бекітілген қосымша</w:t>
            </w:r>
          </w:p>
        </w:tc>
      </w:tr>
    </w:tbl>
    <w:bookmarkStart w:name="z14" w:id="0"/>
    <w:p>
      <w:pPr>
        <w:spacing w:after="0"/>
        <w:ind w:left="0"/>
        <w:jc w:val="left"/>
      </w:pPr>
      <w:r>
        <w:rPr>
          <w:rFonts w:ascii="Times New Roman"/>
          <w:b/>
          <w:i w:val="false"/>
          <w:color w:val="000000"/>
        </w:rPr>
        <w:t xml:space="preserve"> Ұйғыр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Ұйғыр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Ұйғыр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7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707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67437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437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