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48ee" w14:textId="4ba4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2012 жылғы 28 маусымдағы VI сессиясының № 62 "Облыстың (қаланың, ауданның) құрметті азаматы" атағын беру ережесі туралы"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2016 жылғы 25 қарашадағы V сессиясының № 116 шешімі. Қарағанды облысының Әділет департаментінде 2016 жылғы 30 қарашада № 4031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Қарағанды облыстық мәслихатының 2012 жылғы 28 маусымдағы VI сессиясының № 62 "Облыстың (қаланың, ауданның) құрметті азаматы" атағын беру ережесі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1915 тіркелген, 2012 жылдың 17 шілдесінде "Индустриальная Караганда" № 85 (21249) және "Орталық Қазақстан" № 118 (21324)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"Облыстың (қаланың, ауданның) құрметті азаматы" атағын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"11. Атақты облыс (қала, аудан) әкімінің ұсынысы бойынша жыл сайын тиісті мәслихат береді, бірақ облыс бойынша, облыс қалалары бойынша, облыс аудандары бойынша сәйкесінше үш азаматтан артық емес болуы керек. Атақты беру туралы мәселені қарау және шешім қабылдау Атаққа ұсынылған тұлғаның қатысуынсыз жүзеге асырыла алады.</w:t>
      </w:r>
      <w:r>
        <w:br/>
      </w:r>
      <w:r>
        <w:rPr>
          <w:rFonts w:ascii="Times New Roman"/>
          <w:b w:val="false"/>
          <w:i w:val="false"/>
          <w:color w:val="000000"/>
          <w:sz w:val="28"/>
        </w:rPr>
        <w:t>
      </w:t>
      </w:r>
      <w:r>
        <w:rPr>
          <w:rFonts w:ascii="Times New Roman"/>
          <w:b w:val="false"/>
          <w:i w:val="false"/>
          <w:color w:val="000000"/>
          <w:sz w:val="28"/>
        </w:rPr>
        <w:t>Атақ беру Қазақстан Республикасының мемлекеттік және ұлттық мерекелеріне орайластырылады.".</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облыстық мәслихаттың әлеуметтік-мәдени даму және халықты әлеуметтік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Прокоп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