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f056" w14:textId="015f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жерге жер салығының базалық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2016 жылғы 17 ақпандағы № 432 шешімі. Қарағанды облысының Әділет департаментінде 2016 жылғы 3 наурызда № 3688 болып тіркелді. Күші жойылды - Қарағанды облысы Сәтбаев қалалық мәслихатының 2018 жылғы 18 сәуірдегі N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Сәтбаев қалалық мәслихатының 18.04.2018 N 265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жер салығының базалық мөлшерлемесі он есеге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Күнеділов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