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aac6" w14:textId="3d0a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2014 жылғы 20 тамыздағы № 262 "Сәтбаев қаласының аз қамтамасыз етілген отбасыларына (азаматтарына) тұрғын үй көмегін көрсетудің мөлшерін және тәртібін айқындау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2016 жылғы 29 сәуірдегі № 26 шешімі. Қарағанды облысының Әділет департаментінде 2016 жылғы 19 мамырда № 3796 болып тіркелді. Күші жойылды - Ұлытау облысы Сәтбаев қалалық мәслихатының 2023 жылғы 3 қарашадағы № 71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Сәтбаев қалалық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№ 2314 "Тұрғын үй көмегiн көрсету ережесiн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Сәтбаев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2014 жылғы 20 тамыздағы № 262 "Сәтбаев қаласының аз қамтамасыз етілген отбасыларына (азаматтарына) тұрғын үй көмегін көрсетудің мөлшерін және тәртібін айқындау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2741 болып тіркелген, 2014 жылғы 26 қыркүйектегі "Шарайна" № 38 (2125) газетінде және 2014 жылғы 29 қыркүйекте "Әділет" ақпараттық-құқықтық жүйесінде жарияланған) келесі өзгерістер енгізілсін: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кіріспесі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мазмұндалсын: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5 шілдедегі "Байланыс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№ 2314 "Тұрғын үй көмегiн көрсету ережесiн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14 сәуірдегі № 512 "Әлеуметтiк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Сәтбаев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Сәтбаев қаласының аз қамтамасыз етілген отбасыларына (азаматтарына)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кіріспе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мазмұндалсын: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Сәтбаев қаласының аз қамтамасыз етілген отбасыларына (азаматтарына) тұрғын үй көмегін көрсетудің мөлшерін және тәртібін айқындау ережесі (бұдан әрі – Ереже)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 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5 шілдедегі "Байланыс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30 желтоқсандағы № 2314 "Тұрғын үй көмегін көрсету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Ереже), Қазақстан Республикасы Үкіметінің 2009 жылғы 14 сәуірдегі № 512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сәйкес әзірленді және Cәтбаев қаласының аз қамтамасыз етілген отбасыларына (азаматтарына) тұрғын үй көмегін көрсетудің мөлшерін және тәртібін айқындайды.".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Күнеділов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