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c394" w14:textId="a27c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2016 жылғы 21 қыркүйектегі № 59 шешімі. Қызылорда облысының Әділет департаментінде 2016 жылғы 14 қазанда № 5621 болып тіркелді. Күші жойылды - Қызылорда облысы Сырдария аудандық мәслихатының 2017 жылғы 17 наурыздағы № 94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17.03.2017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Сырдария аудандық мәслихаттың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2015 жылғы 26 қарашадағы сессиясының </w:t>
      </w:r>
      <w:r>
        <w:rPr>
          <w:rFonts w:ascii="Times New Roman"/>
          <w:b w:val="false"/>
          <w:i w:val="false"/>
          <w:color w:val="000000"/>
          <w:sz w:val="28"/>
        </w:rPr>
        <w:t>№ 344</w:t>
      </w:r>
      <w:r>
        <w:rPr>
          <w:rFonts w:ascii="Times New Roman"/>
          <w:b w:val="false"/>
          <w:i w:val="false"/>
          <w:color w:val="000000"/>
          <w:sz w:val="28"/>
        </w:rPr>
        <w:t xml:space="preserve"> шешімі (нормативтік құқықтық актілерді мемлекеттік Тіркеу тізілімінде 2015 жылғы 23 желтоқсанда № 5271 болып тіркелді, "Тіршілік тынысы" газетінің 2015 жылғы 31 желтоқсанда № 101 жарияланған); </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2015 жылғы 26 қарашадағы № 344 шешіміне өзгерістер енгізу туралы" Сырдария аудандық мәслихатының 2016 жылғы 29 шілдедегі </w:t>
      </w:r>
      <w:r>
        <w:rPr>
          <w:rFonts w:ascii="Times New Roman"/>
          <w:b w:val="false"/>
          <w:i w:val="false"/>
          <w:color w:val="000000"/>
          <w:sz w:val="28"/>
        </w:rPr>
        <w:t>№ 40</w:t>
      </w:r>
      <w:r>
        <w:rPr>
          <w:rFonts w:ascii="Times New Roman"/>
          <w:b w:val="false"/>
          <w:i w:val="false"/>
          <w:color w:val="000000"/>
          <w:sz w:val="28"/>
        </w:rPr>
        <w:t xml:space="preserve"> шешімі (нормативтік құқықтық актілерді мемлекеттік Тіркеу тізілімінде 2016 жылғы 18 тамызда № 5582 болып тіркелді, "Тіршілік тынысы" газетінің 2016 жылғы 23 тамызда №65 жарияланған)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4"/>
        <w:gridCol w:w="4226"/>
      </w:tblGrid>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6 сессиясының төрағасы:</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Б.Қадыров____________</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Е.Әжікенов____________</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М.Делмұханов</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"21" қазан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шешiмiмен бекiтiлген</w:t>
            </w:r>
          </w:p>
        </w:tc>
      </w:tr>
    </w:tbl>
    <w:bookmarkStart w:name="z23"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 (Сырдария ауданының әкімдігі) – Сырдария ауданының әкімі басқаратын, өз құзыреті шегінде Сырдария ауданының </w:t>
      </w:r>
      <w:r>
        <w:rPr>
          <w:rFonts w:ascii="Times New Roman"/>
          <w:b w:val="false"/>
          <w:i w:val="false"/>
          <w:color w:val="000000"/>
          <w:sz w:val="28"/>
        </w:rPr>
        <w:t>аумағында жергілікті мемлекеттік басқаруды және өзін-өзі басқаруды</w:t>
      </w:r>
      <w:r>
        <w:rPr>
          <w:rFonts w:ascii="Times New Roman"/>
          <w:b w:val="false"/>
          <w:i w:val="false"/>
          <w:color w:val="000000"/>
          <w:sz w:val="28"/>
        </w:rPr>
        <w:t xml:space="preserve">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"Сырдария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Сырдария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соғысына</w:t>
      </w:r>
      <w:r>
        <w:rPr>
          <w:rFonts w:ascii="Times New Roman"/>
          <w:b w:val="false"/>
          <w:i w:val="false"/>
          <w:color w:val="000000"/>
          <w:sz w:val="28"/>
        </w:rPr>
        <w:t xml:space="preserve">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w:t>
      </w:r>
      <w:r>
        <w:rPr>
          <w:rFonts w:ascii="Times New Roman"/>
          <w:b w:val="false"/>
          <w:i w:val="false"/>
          <w:color w:val="000000"/>
          <w:sz w:val="28"/>
        </w:rPr>
        <w:t xml:space="preserve"> радиациялық апаттар мен авариялардың, ядролық қаруды сынаудың салдарынан мүгедек болған адамдарға – 30 айлық есептік көрсеткіш</w:t>
      </w:r>
      <w:r>
        <w:rPr>
          <w:rFonts w:ascii="Times New Roman"/>
          <w:b w:val="false"/>
          <w:i w:val="false"/>
          <w:color w:val="000000"/>
          <w:sz w:val="28"/>
        </w:rPr>
        <w:t xml:space="preserve">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w:t>
      </w:r>
      <w:r>
        <w:rPr>
          <w:rFonts w:ascii="Times New Roman"/>
          <w:b w:val="false"/>
          <w:i w:val="false"/>
          <w:color w:val="000000"/>
          <w:sz w:val="28"/>
        </w:rPr>
        <w:t>немесе өзге де заңды өкілдеріне - ай сайын 7,6 айлық есептік көрсеткіштен</w:t>
      </w:r>
      <w:r>
        <w:rPr>
          <w:rFonts w:ascii="Times New Roman"/>
          <w:b w:val="false"/>
          <w:i w:val="false"/>
          <w:color w:val="000000"/>
          <w:sz w:val="28"/>
        </w:rPr>
        <w:t xml:space="preserve"> артық емес; </w:t>
      </w:r>
      <w:r>
        <w:br/>
      </w:r>
      <w:r>
        <w:rPr>
          <w:rFonts w:ascii="Times New Roman"/>
          <w:b w:val="false"/>
          <w:i w:val="false"/>
          <w:color w:val="000000"/>
          <w:sz w:val="28"/>
        </w:rPr>
        <w:t>
      </w:t>
      </w:r>
      <w:r>
        <w:rPr>
          <w:rFonts w:ascii="Times New Roman"/>
          <w:b w:val="false"/>
          <w:i w:val="false"/>
          <w:color w:val="000000"/>
          <w:sz w:val="28"/>
        </w:rPr>
        <w:t xml:space="preserve">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w:t>
      </w:r>
      <w:r>
        <w:rPr>
          <w:rFonts w:ascii="Times New Roman"/>
          <w:b w:val="false"/>
          <w:i w:val="false"/>
          <w:color w:val="000000"/>
          <w:sz w:val="28"/>
        </w:rPr>
        <w:t>қажеттіліктерге әлеуметтік көмек, жылына бір рет - шекті шама 10 айлық</w:t>
      </w:r>
      <w:r>
        <w:rPr>
          <w:rFonts w:ascii="Times New Roman"/>
          <w:b w:val="false"/>
          <w:i w:val="false"/>
          <w:color w:val="000000"/>
          <w:sz w:val="28"/>
        </w:rPr>
        <w:t xml:space="preserve">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101"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кент, ауыл,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кент, ауыл,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кент, ауыл, ауылдық округ әкімі не ассистент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бұйрығының (бұдан әрі - Бұйрық) (Қазақстан Республикасының Әділет министрлігінде 2016 жылы 6 маусымда 13773 нөмірімен тіркелген)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кент, ауыл,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29. Уәкілетті орган немесе кент, ауыл,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8-қосымшасына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кент, ауыл,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Кент, ауыл,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1) кент, ауыл,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w:t>
      </w:r>
      <w:r>
        <w:br/>
      </w:r>
      <w:r>
        <w:rPr>
          <w:rFonts w:ascii="Times New Roman"/>
          <w:b w:val="false"/>
          <w:i w:val="false"/>
          <w:color w:val="000000"/>
          <w:sz w:val="28"/>
        </w:rPr>
        <w:t>
      </w:t>
      </w:r>
      <w:r>
        <w:rPr>
          <w:rFonts w:ascii="Times New Roman"/>
          <w:b w:val="false"/>
          <w:i w:val="false"/>
          <w:color w:val="000000"/>
          <w:sz w:val="28"/>
        </w:rPr>
        <w:t>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w:t>
      </w:r>
      <w:r>
        <w:rPr>
          <w:rFonts w:ascii="Times New Roman"/>
          <w:b w:val="false"/>
          <w:i w:val="false"/>
          <w:color w:val="000000"/>
          <w:sz w:val="28"/>
        </w:rPr>
        <w:t xml:space="preserve">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70" w:id="5"/>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w:t>
      </w:r>
      <w:r>
        <w:rPr>
          <w:rFonts w:ascii="Times New Roman"/>
          <w:b w:val="false"/>
          <w:i w:val="false"/>
          <w:color w:val="000000"/>
          <w:sz w:val="28"/>
        </w:rPr>
        <w:t xml:space="preserve">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82"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86"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