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f377" w14:textId="8c9f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30 қазандағы № 460 "Орман шаруашылығы саласындағы мемлекеттік көрсетілетін қызмет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9 тамыздағы № 373 қаулысы. Қостанай облысының Әділет департаментінде 2016 жылғы 5 қыркүйекте № 6608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"Орман шаруашылығы саласындағы мемлекеттік көрсетілетін қызмет регламенттерін бекіту туралы" қаулысына (Нормативтік құқықтық актілерді мемлекеттік тіркеу тізілімінде № 6030 болып тіркелген, 2015 жылғы 16 желтоқсанда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"Ағаш кесу және орман билетін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4-бөлімнің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және "электрондық үкімет" веб-порталы арқылы көрсетілмейді.";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жоғарыда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Орман ресурстары, сауықтыру</w:t>
      </w:r>
      <w:r>
        <w:rPr>
          <w:rFonts w:ascii="Times New Roman"/>
          <w:b w:val="false"/>
          <w:i w:val="false"/>
          <w:color w:val="000000"/>
          <w:sz w:val="28"/>
        </w:rPr>
        <w:t>, рекреациялық, тарихи-мәдени, туристік және спорттық мақсаттар; аңшылық шаруашылығының мұқтаждықтары; жанама орман пайдалану үшін ұзақ мерзімді орман пайдалануға берілген мемлекеттік орман қоры жерлерінде учаскелерді құрылыс объектілерін салуға пайдалануға рұқсат беру",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орман қоры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учаскелерінде ұзақ мерзімді орман пайдалану шартын мемлекеттік тіркеу" мемлекеттік көрсетілетін қызметтер регламенттерінде: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4-бөлімнің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көрсетілмейді.";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мемлекеттік қызмет көрсету процесінде ақпараттық жүйелерді пайдалану тәртібін сипаттау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күнiнен кейін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