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82c4" w14:textId="eb88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Амангелді ауданы мәслихатының 2016 жылғы 19 сәуірдегі № 10 шешімі. Қостанай облысының Әділет департаментінде 2016 жылғы 18 мамырда № 6378 болып тіркелді</w:t>
      </w:r>
    </w:p>
    <w:p>
      <w:pPr>
        <w:spacing w:after="0"/>
        <w:ind w:left="0"/>
        <w:jc w:val="both"/>
      </w:pPr>
      <w:bookmarkStart w:name="z3" w:id="0"/>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Амангелдi аудандық мәслихаты </w:t>
      </w:r>
      <w:r>
        <w:rPr>
          <w:rFonts w:ascii="Times New Roman"/>
          <w:b/>
          <w:i w:val="false"/>
          <w:color w:val="000000"/>
          <w:sz w:val="28"/>
        </w:rPr>
        <w:t>ШЕШI</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2016 жылы көтерме жәрдемақы және тұрғын үй алу немесе салу үшiн әлеуметтiк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Дәуітбаев</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Аудандық</w:t>
            </w:r>
          </w:p>
          <w:bookmarkEnd w:id="3"/>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w:t>
            </w:r>
            <w:r>
              <w:rPr>
                <w:rFonts w:ascii="Times New Roman"/>
                <w:b w:val="false"/>
                <w:i/>
                <w:color w:val="000000"/>
                <w:sz w:val="20"/>
              </w:rPr>
              <w:t>      мәслихат хатшысы</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Кеделбаев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"Амангелді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бюджеттік</w:t>
      </w:r>
      <w:r>
        <w:br/>
      </w:r>
      <w:r>
        <w:rPr>
          <w:rFonts w:ascii="Times New Roman"/>
          <w:b w:val="false"/>
          <w:i w:val="false"/>
          <w:color w:val="000000"/>
          <w:sz w:val="28"/>
        </w:rPr>
        <w:t>
</w:t>
      </w:r>
      <w:r>
        <w:rPr>
          <w:rFonts w:ascii="Times New Roman"/>
          <w:b w:val="false"/>
          <w:i w:val="false"/>
          <w:color w:val="000000"/>
          <w:sz w:val="28"/>
        </w:rPr>
        <w:t>
      жоспарлау бөлімі" коммуналдық</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____________________ М. Сакетов</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