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ac51" w14:textId="ab1a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2016 жылғы 20 шілдедегі № 25/05 шешімі. Павлодар облысының Әділет департаментінде 2016 жылғы 09 тамызда № 5197 болып тіркелді. Күші жойылды - Павлодар облысы Баянауыл аудандық мәслихатының 2024 жылғы 22 тамыздағы № 197/22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22.08.2024 </w:t>
      </w:r>
      <w:r>
        <w:rPr>
          <w:rFonts w:ascii="Times New Roman"/>
          <w:b w:val="false"/>
          <w:i w:val="false"/>
          <w:color w:val="ff0000"/>
          <w:sz w:val="28"/>
        </w:rPr>
        <w:t>№ 197/22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Шешімнің орындалуын бақылау Баянауыл аудандық мәслихатының әлеуметтік-экономикалық даму мәселелері жоспар мен бюджет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20 шілдедегі № 25/05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Баянауыл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Баянауыл аудандық мәслихатының 23.06.2023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Баянауыл ауданының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Баянауыл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"Баянауыл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 xml:space="preserve">11-бабының </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қолдау шаралары осы Үлгілік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 пен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тамыздан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xml:space="preserve">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 </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3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мүгедектігі бар спортшылар;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адамның абилитациялау мен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жоғары оқу орындарында оқу үшін, оқуын аяқтау мерзіміне дейін әлеуметтік көмек алған студенттері;</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мүмкіндігі шектеулі барлық санаттағы адамдар, мемлекеттік атаулы әлеуметтік көмек алатын, төрт және одан да көп кәмелетке толмаған балалары бар аз қамтылған көп балалы аналар,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 (3, 4 кезеңдегі және аурудың кезеңінен тәуелсіз 4 клиникалық топтағы), нәжіс, зәр және тыныс жыланкөздері бар қан өндіру және лимфа жүйесінің аурулары (лейкемия, лимфопролиферативтік аурулар);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1 түрі қант диабетімен ауыратын адамдар;</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5) тармақшасының 2, 3 абзацтарында, 7) тармақшасының 3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2) тармақшасының 7, 8 абзацтарында, 6) тармақшасының 3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1), 3), 4) тармақшаларында, 2) тармақшасының 2, 3, 4, 5, 6, 9 абзацтарында, 5) тармақшасының 4, 5 абзацтарында, 6) тармақшасының 2, 4, 5, 6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тармақшасының 6, 8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Тәуелсіздік күніне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7) тармақшасының 1, 2 абзацтарында, 8) тармақшасының 2, 3, 4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арналған 50 (елу) АЕК мөлшерінде,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тармақшасының 5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жеке көмекшінің еріп жүруіне 55 (елу бес)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тармақшасының 2, 3 абзацтарында көрсетілген санаттар үшін;</w:t>
      </w:r>
    </w:p>
    <w:p>
      <w:pPr>
        <w:spacing w:after="0"/>
        <w:ind w:left="0"/>
        <w:jc w:val="both"/>
      </w:pPr>
      <w:r>
        <w:rPr>
          <w:rFonts w:ascii="Times New Roman"/>
          <w:b w:val="false"/>
          <w:i w:val="false"/>
          <w:color w:val="000000"/>
          <w:sz w:val="28"/>
        </w:rPr>
        <w:t xml:space="preserve">
      уәкілетті органның тізімі негізінде республикалық, халықаралық жарыстарға дайындалу үшін 15 (он бес)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тармақшасының 7 абзацында көрсетілген санат үшін;</w:t>
      </w:r>
    </w:p>
    <w:p>
      <w:pPr>
        <w:spacing w:after="0"/>
        <w:ind w:left="0"/>
        <w:jc w:val="both"/>
      </w:pPr>
      <w:r>
        <w:rPr>
          <w:rFonts w:ascii="Times New Roman"/>
          <w:b w:val="false"/>
          <w:i w:val="false"/>
          <w:color w:val="000000"/>
          <w:sz w:val="28"/>
        </w:rPr>
        <w:t xml:space="preserve">
      уәкілетті органның тізімі негізінде 4 (төрт)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тармақшасының 3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100 (жүз) АЕК мөлшерінде өмірлік қиын жағдайдың басталуынан бір жыл ішінде,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11) тармақшасының 3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11) тармақшасының 4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12) тармақшасының 2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 ұсынған тізімі негізінде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12) тармақшасының 3 абзацында көрсетілген санат үшін 10 (он) АЕК мөлшерінде;</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12) тармақшасының 6 абзацында көрсетілген санат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12) тармақшасының 7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тармақшасының 3, 4, 5 абзацтарында, 4) тармақшасының 3 абзацында, 6) тармақшасының 2 абзацында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тармақшасының 3, 4, 5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12) тармақшасының 4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 ұсынған тізімі негізінде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12) тармақшасының 5 абзацында көрсетілген санат үшін 15 (он бес) АЕК мөлшерінде.</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біржолғы әлеуметтік көмек көрсетеді:</w:t>
      </w:r>
    </w:p>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төленеді;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11) тармақшасының 2 абзацында көрсетілген санат үшін.</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xml:space="preserve">
      12.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25 -тармақтарына</w:t>
      </w:r>
      <w:r>
        <w:rPr>
          <w:rFonts w:ascii="Times New Roman"/>
          <w:b w:val="false"/>
          <w:i w:val="false"/>
          <w:color w:val="000000"/>
          <w:sz w:val="28"/>
        </w:rPr>
        <w:t xml:space="preserve"> сәйкес айкыңдалды.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Баянауыл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both"/>
      </w:pPr>
      <w:r>
        <w:rPr>
          <w:rFonts w:ascii="Times New Roman"/>
          <w:b w:val="false"/>
          <w:i w:val="false"/>
          <w:color w:val="000000"/>
          <w:sz w:val="28"/>
        </w:rPr>
        <w:t>
      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