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d711" w14:textId="49dd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әкімдігі атқарушы органдары "Б" корпусы әкімшілік мемлекеттік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2016 жылғы 17 ақпандағы № 46/2 қаулысы. Павлодар облысының Әділет департаментінде 2016 жылғы 04 наурызда № 4957 болып тіркелді. Күші жойылды - Павлодар облысы Качир аудандық әкімдігінің 2017 жылғы 27 наурыздағы № 80/4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Качир аудандық әкімдігінің 27.03.2017 № 80/4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Качир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Качир ауданы әкімдігі атқарушы органдардың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Качир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2016 жылғы "17" ақпандағы</w:t>
            </w:r>
            <w:r>
              <w:br/>
            </w:r>
            <w:r>
              <w:rPr>
                <w:rFonts w:ascii="Times New Roman"/>
                <w:b w:val="false"/>
                <w:i w:val="false"/>
                <w:color w:val="000000"/>
                <w:sz w:val="20"/>
              </w:rPr>
              <w:t>№ 46/2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Качир ауданы әкімдігі атқарушы органдардың "Б" корпусы</w:t>
      </w:r>
      <w:r>
        <w:br/>
      </w:r>
      <w:r>
        <w:rPr>
          <w:rFonts w:ascii="Times New Roman"/>
          <w:b/>
          <w:i w:val="false"/>
          <w:color w:val="000000"/>
        </w:rPr>
        <w:t>әкімшілік мемлекеттік 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Качир ауданы әкімдігі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Качир ауданы әкімдігі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қызметшісі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басшының;</w:t>
      </w:r>
      <w:r>
        <w:br/>
      </w:r>
      <w:r>
        <w:rPr>
          <w:rFonts w:ascii="Times New Roman"/>
          <w:b w:val="false"/>
          <w:i w:val="false"/>
          <w:color w:val="000000"/>
          <w:sz w:val="28"/>
        </w:rPr>
        <w:t>
      2) "Б" корпусы қызметшісіне бағыныштылардың;</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47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365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65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p>
      <w:pPr>
        <w:spacing w:after="0"/>
        <w:ind w:left="0"/>
        <w:jc w:val="both"/>
      </w:pPr>
      <w:r>
        <w:rPr>
          <w:rFonts w:ascii="Times New Roman"/>
          <w:b w:val="false"/>
          <w:i w:val="false"/>
          <w:color w:val="000000"/>
          <w:sz w:val="28"/>
        </w:rPr>
        <w:t>            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11"/>
    <w:p>
      <w:pPr>
        <w:spacing w:after="0"/>
        <w:ind w:left="0"/>
        <w:jc w:val="left"/>
      </w:pPr>
      <w:r>
        <w:rPr>
          <w:rFonts w:ascii="Times New Roman"/>
          <w:b/>
          <w:i w:val="false"/>
          <w:color w:val="000000"/>
        </w:rPr>
        <w:t xml:space="preserve"> Бағалау парағы</w:t>
      </w:r>
    </w:p>
    <w:bookmarkEnd w:id="11"/>
    <w:p>
      <w:pPr>
        <w:spacing w:after="0"/>
        <w:ind w:left="0"/>
        <w:jc w:val="both"/>
      </w:pPr>
      <w:r>
        <w:rPr>
          <w:rFonts w:ascii="Times New Roman"/>
          <w:b w:val="false"/>
          <w:i w:val="false"/>
          <w:color w:val="000000"/>
          <w:sz w:val="28"/>
        </w:rPr>
        <w:t>            _____________________ тоқсан _____ жыл</w:t>
      </w:r>
      <w:r>
        <w:br/>
      </w:r>
      <w:r>
        <w:rPr>
          <w:rFonts w:ascii="Times New Roman"/>
          <w:b w:val="false"/>
          <w:i/>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139"/>
        <w:gridCol w:w="1315"/>
        <w:gridCol w:w="654"/>
        <w:gridCol w:w="661"/>
        <w:gridCol w:w="2516"/>
        <w:gridCol w:w="1775"/>
        <w:gridCol w:w="1777"/>
        <w:gridCol w:w="321"/>
        <w:gridCol w:w="345"/>
      </w:tblGrid>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 тер мен қызмет түрлері туралы мәліметтер</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13"/>
    <w:p>
      <w:pPr>
        <w:spacing w:after="0"/>
        <w:ind w:left="0"/>
        <w:jc w:val="left"/>
      </w:pPr>
      <w:r>
        <w:rPr>
          <w:rFonts w:ascii="Times New Roman"/>
          <w:b/>
          <w:i w:val="false"/>
          <w:color w:val="000000"/>
        </w:rPr>
        <w:t xml:space="preserve"> Айналмалы бағалау нәтижелері</w:t>
      </w:r>
    </w:p>
    <w:bookmarkEnd w:id="13"/>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xml:space="preserve">(бағалау түрі: тоқсандық </w:t>
      </w:r>
      <w:r>
        <w:rPr>
          <w:rFonts w:ascii="Times New Roman"/>
          <w:b w:val="false"/>
          <w:i/>
          <w:color w:val="000000"/>
          <w:sz w:val="28"/>
        </w:rPr>
        <w:t>/жылдық</w:t>
      </w:r>
      <w:r>
        <w:rPr>
          <w:rFonts w:ascii="Times New Roman"/>
          <w:b w:val="false"/>
          <w:i/>
          <w:color w:val="000000"/>
          <w:sz w:val="28"/>
        </w:rPr>
        <w:t xml:space="preserve"> және бағаланатын кезең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нәтижелерің Комиссиямен түзетулері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______________________ Күні: 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