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1487" w14:textId="40f1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2017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2016 жылғы 23 желтоқсандағы N 6-7-2 шешімі. Солтүстік Қазақстан облысының Әділет департаментінде 2017 жылғы 9 қаңтарда N 4007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министірінің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Ережелері мен өлшемдерін бекіту туралы" Қазақстан Республикасы Ұлттық экономика министірінің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Ережелері мен өлшемдерін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Айыртау ауданының әкімі мәлімдеген қажеттілікті ескере отырып 2017 жылға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Жетпiс еселiк айлық есептiк көрсеткiшке тең сомада әлеуметтік қолдау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маман өтінішінде көрсетілген, бiр мың бес жүз еселiк айлық есептiк көрсеткiштен аспайтын сомада бюджеттiк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VII кезекті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