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eff4" w14:textId="5ace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Есбол ауылдық округіндегі елді мекендерінің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Есбол ауылдық округі әкімінің 2016 жылғы 13 қазандағы № 15 шешімі. Атырау облысының Әділет департаментінде 2016 жылғы 01 қарашада № 3659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Есбол ауылдық округі халқының пікірін ескеріп және Атырау облыстық ономастика комиссиясының 2016 жылғы 13 сәуірдегі қорытындысы негізінде Есбол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Есбол ауылдық округінің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Ортақшыл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"Исатай"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"Абай"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көше – "Жолдас Жаскеленов"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көше – "Махамбет"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көше – "Жабу Дөкесов"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көше – "Сағын Алпатанов"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Жетінші көше – "Кеңес"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Сегізінші көше – "Құрманғазы"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Тоғызыншы көше – "Алаш Тұржанов"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Есбол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– "Абай"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 – "Исатай"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көше – "Махамбет"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Еңбекшіл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көше – "Мұстафа Шоқай" есімі.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Әділғалиев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