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4c3a" w14:textId="cb74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 Оңтүстік Қазақстан облысы әкімдігінің 2015 жылғы 17 қыркүйектегі № 282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16 мамырдағы № 129 қаулысы. Оңтүстік Қазақстан облысының Әділет департаментінде 2016 жылғы 24 мамырда № 3747 болып тіркелді.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17 қыркүйектегі № 282 "Жер қойнауын пайдалану саласындағы мемлекеттік көрсетілетін қызметтер регламенттерін бекіту туралы" (Нормативтік құқықтық актілерін мемлекеттік тіркеу тізілімінде № 3352 болып тіркелген, 2015 жылғы 10 қазанда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4-тармақшасы -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"Кең таралған пайдалы қазбаларды барлауға, өндіруге келісімшарттар жасасу, оларды тіркеу және сақтау"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4-қосымшасы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6-қосымшасында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Ж.Қ.Бөкенбаевқа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