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3458" w14:textId="f793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"Сарыағаш ауданының қала, кент, ауыл және ауылдық округтері әкімдері аппараттары мемлекеттік мекемелері туралы ережелерді бекіту туралы" Сарыағаш ауданы әкімдігінің 2014 жылғы 31 желтоқсандағы № 848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2016 жылғы 26 ақпандағы № 95 қаулысы. Оңтүстік Қазақстан облысының Әділет департаментінде 2016 жылғы 24 наурызда № 3658 болып тіркелді. Күшi жойылды - Оңтүстiк Қазақстан облысы Сарыағаш ауданы әкiмдiгiнiң 2016 жылғы 12 мамырдағы № 248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Сарыағаш ауданы әкiмдiгiнiң 12.05.2016 № 248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өзін–өзі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Сарыағаш ауданы әкімдігінің 2014 жылғы 31 желтоқсандағы № 848 "Сарыағаш ауданының қала, кент, ауыл және ауылдық округтері әкімдері аппараттары мемлекеттік мекемелері туралы ережелерді бекіту туралы" (Нормативтік құқықтық актілерді мемлекеттік тіркеу тізілімінде № 2997 тіркелген, 2015 жылғы 02 ақпанда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Сарыағаш қаласы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қаладағы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қаладағы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қала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Көктерек кенті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кенттегі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кенттегі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кент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Абай ауылы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ауылдағы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Ақжар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Ақтөбе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Алпамыс батыр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Бірлесу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Бірлік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Біртілек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Бозай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Дарбаза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Дербісек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Әлімтау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Жамбыл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Жарты 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Жемісті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Жібек жолы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Жүзімдік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Жылға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Қабланбек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Қошқарата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Құркелес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Қызылжар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Ошақты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Тегісшіл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Ұшқын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"Сарыағаш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Сарыағаш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 Сарыағаш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Ж.Алсеитовке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