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7bf5" w14:textId="15d7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Шығыс Қазақстан облысы әкімдігінің 2016 жылғы 8 қаңтардағы № 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30 қыркүйектегі № 308 қаулысы. Шығыс Қазақстан облысының Әділет департаментінде 2016 жылғы 3 қарашада № 4727 болып тіркелді. Күші жойылды - Шығыс Қазақстан облысы әкімдігінің 2020 жылғы 24 сәуірдегі № 136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Денсаулық сақтау және әлеуметтік даму министрінің 2016 жылғы 27 қаңтардағы № 55 (Нормативтік құқықтық актілерді мемлекеттік тіркеу тізілімінде тіркелген нөмірі 13385)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 Шығыс Қазақстан облысы әкімдігінің 2016 жылғы 8 қаңтардағы № 2 (Нормативтік құқықтық актілерді мемлекеттік тіркеу тізілімінде 4400 нөмірімен тіркелген, 2016 жылғы 2 наурыздағы № 24 (17264) "Дидар", 2016 жылғы 1 наурыздағы № 24 (19776)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2016 жылғы "30" қыркүйек</w:t>
            </w:r>
            <w:r>
              <w:br/>
            </w:r>
            <w:r>
              <w:rPr>
                <w:rFonts w:ascii="Times New Roman"/>
                <w:b w:val="false"/>
                <w:i w:val="false"/>
                <w:color w:val="000000"/>
                <w:sz w:val="20"/>
              </w:rPr>
              <w:t>№ 308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Қазақстан облысы әкімдігінің</w:t>
            </w:r>
            <w:r>
              <w:br/>
            </w:r>
            <w:r>
              <w:rPr>
                <w:rFonts w:ascii="Times New Roman"/>
                <w:b w:val="false"/>
                <w:i w:val="false"/>
                <w:color w:val="000000"/>
                <w:sz w:val="20"/>
              </w:rPr>
              <w:t>2016 жылғы 8 қаңтардағы</w:t>
            </w:r>
            <w:r>
              <w:br/>
            </w:r>
            <w:r>
              <w:rPr>
                <w:rFonts w:ascii="Times New Roman"/>
                <w:b w:val="false"/>
                <w:i w:val="false"/>
                <w:color w:val="000000"/>
                <w:sz w:val="20"/>
              </w:rPr>
              <w:t>№ 2 қаулысымен бекітілген</w:t>
            </w:r>
          </w:p>
        </w:tc>
      </w:tr>
    </w:tbl>
    <w:bookmarkStart w:name="z7" w:id="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қызметінің (бұдан әрі – мемлекеттік көрсетілетін қызмет) көрсетілетін қызмет берушісі тегін медициналық көмектің кепілдік берілген көлемін көрсетуге үміткер денсаулық сақтау субъектісінің (бұдан әрі – көрсетілетін қызметті алушы) немесе оның өкілінің көрсетілетін қызмет берушіге тікелей өтініш берген жағдайында Шығыс Қазақстан облысы денсаулық сақтау басқармасы (бұдан әрі – көрсетілетін қызметті беруші) болып табылады.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Денсаулық сақтау және әлеуметтік даму министрінің 2015 жылғы 28 сәуірдегі № 294 (Нормативтік құқықтық актілерді мемлекеттік тіркеу тізілімінде тіркелген нөмірі 11356) бұйрығымен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 xml:space="preserve">2)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3"/>
    <w:bookmarkStart w:name="z82"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20" w:id="5"/>
    <w:p>
      <w:pPr>
        <w:spacing w:after="0"/>
        <w:ind w:left="0"/>
        <w:jc w:val="both"/>
      </w:pPr>
      <w:r>
        <w:rPr>
          <w:rFonts w:ascii="Times New Roman"/>
          <w:b w:val="false"/>
          <w:i w:val="false"/>
          <w:color w:val="000000"/>
          <w:sz w:val="28"/>
        </w:rPr>
        <w:t xml:space="preserve">
      4. Мемлекеттiк көрсетілетін қызмет бойынша iс-қимылды бастауға көрсетiлетiн қызметті алушының (немесе сенімхат бойынша оның өкілінің) өтінімі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Мемлекеттiк қызметті көрсету процесiнiң құрамына кiретiн әр рәсiмнің (iс-қимылдың) мазмұны, орындалу ұзақтығы: </w:t>
      </w:r>
      <w:r>
        <w:br/>
      </w:r>
      <w:r>
        <w:rPr>
          <w:rFonts w:ascii="Times New Roman"/>
          <w:b w:val="false"/>
          <w:i w:val="false"/>
          <w:color w:val="000000"/>
          <w:sz w:val="28"/>
        </w:rPr>
        <w:t xml:space="preserve">
      </w:t>
      </w:r>
      <w:r>
        <w:rPr>
          <w:rFonts w:ascii="Times New Roman"/>
          <w:b w:val="false"/>
          <w:i w:val="false"/>
          <w:color w:val="000000"/>
          <w:sz w:val="28"/>
        </w:rPr>
        <w:t>1-ші іс-қимыл – көрсетілетін қызметті алушының құжаттарын қабылдау және ТМККК қызметтерін берушілерді таңдау рәсіміне қатысуға өтініштерді тіркеу журналына тіркеу, көрсетілетін қызметті берушінің комиссиясының қарауына беру.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2-ші іс-қимыл – көрсетілетін қызметті беруші комиссиясының көрсетiлетiн қызметті алушының өтінішін:</w:t>
      </w:r>
      <w:r>
        <w:br/>
      </w:r>
      <w:r>
        <w:rPr>
          <w:rFonts w:ascii="Times New Roman"/>
          <w:b w:val="false"/>
          <w:i w:val="false"/>
          <w:color w:val="000000"/>
          <w:sz w:val="28"/>
        </w:rPr>
        <w:t xml:space="preserve">
      </w:t>
      </w:r>
      <w:r>
        <w:rPr>
          <w:rFonts w:ascii="Times New Roman"/>
          <w:b w:val="false"/>
          <w:i w:val="false"/>
          <w:color w:val="000000"/>
          <w:sz w:val="28"/>
        </w:rPr>
        <w:t>толықтығы мен тиісті ресімделуіне;</w:t>
      </w:r>
      <w:r>
        <w:br/>
      </w:r>
      <w:r>
        <w:rPr>
          <w:rFonts w:ascii="Times New Roman"/>
          <w:b w:val="false"/>
          <w:i w:val="false"/>
          <w:color w:val="000000"/>
          <w:sz w:val="28"/>
        </w:rPr>
        <w:t xml:space="preserve">
      </w:t>
      </w:r>
      <w:r>
        <w:rPr>
          <w:rFonts w:ascii="Times New Roman"/>
          <w:b w:val="false"/>
          <w:i w:val="false"/>
          <w:color w:val="000000"/>
          <w:sz w:val="28"/>
        </w:rPr>
        <w:t>құжаттарда көрсетілген мәліметтердің мәлімделген медициналық көмекке сәйкестігін қарайды. Орындалу ұзақтығы – 3 (үш)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3-ші іс-қимыл – көрсетілетін қызметті беруші комиссиясының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шешім қабылдауы.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4-ші іс-қимыл – комиссия хатшысының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комиссия шешімі негізінде хаттама (бұдан әрі – хаттама) ресімдеуі.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5-ші іс-қимыл – көрсетілетін қызметті беруші комиссиясының хаттамаға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6-шы іс-қимыл – комиссия хатшысының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хаттамадан көшірме ресімдеуі.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7-ші іс-қимыл – көрсетілетін қызметті беруші басшысының хаттама көшірмесіне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8-ші іс-қимыл – көрсетiлетiн қызметті алушыға (немесе нотариалды куәландырылған сенімхат бойынша оның өкіліне) мемлекеттік қызмет көрсету мерзімі аяқталғаннан кейін бір айдың ішінде мемлекеттік қызмет көрсету нәтижесін беру. Көрсетілген мерзім аяқталғаннан кейін мемлекеттік қызмет көрсету нәтижесін беру көрсетiлетiн қызметті алушының сұранымы бойынша жүзеге асырылады.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Қатысу туралы өтініш беру мерзімі аяқталған күннен бастап мемлекеттік қызмет көрсету мерзімі– 4 (төрт) жұмыс күнінен аспайды. </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алушының қатысу туралы өтінішке қоса ұсынған құжаттарының нақтылығын анықтау қажеттілігі жағдайында – 30 (отыз)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көрсетілетін қызметтің нәтижесi көрсетілетін қызметті алушының құжаттарын тіркеу болып табылады, ол 2-ші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іс-қимылдың нәтижесі көрсетілетін қызметті алушының өтінішін қарау болып табылады, ол 3-ші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іс-қимылдың нәтижесі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шешім қабылдауы болып табылады, ол 4-ші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4-ші іс-қимылдың нәтижесі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жөніндегі қызметтерді беру үшін әлеуетті қызметтер берушіге қойылатын талаптарға сәйкестігі (сәйкес келмейтіні) туралы комиссия шешімі негізінде хаттама ресімдеуі болып табылады, ол 5-ші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іс-қимылдың нәтижесі хаттамаға қол қою болып табылады, ол 6-шы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6-шы іс-қимылдың нәтижесі хаттамадан көшірме ресімдеуі болып табылады, ол 7-ші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7-ші іс-қимылдың нәтижесі көрсетілетін қызметті беруші басшысының хаттама көшірмесіне қол қоюы болып табылады, ол 8-ші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8-ші іс-қимылдың нәтижесі көрсетiлетiн қызметті алушыға (немесе нотариалды куәландырылған сенімхат бойынша оның өкіліне) мемлекеттік қызмет көрсету нәтижесін беру болып табылады.</w:t>
      </w:r>
    </w:p>
    <w:bookmarkEnd w:id="5"/>
    <w:bookmarkStart w:name="z42" w:id="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6"/>
    <w:bookmarkStart w:name="z43" w:id="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 берушінің құрылымдық бөлiмшелерінің (қызметкерлерінің)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комиссиясының хатшысы;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комиссиясы;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Мемлекеттiк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1-ші іс-қимыл – комиссия хатшысы көрсетілетін қызмет алушыдан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қабылдайды, өтініштерді тіркеу журналына тіркейді, көрсетілетін қызметті берушінің комиссиясының қарауына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2-ші іс-қимыл – көрсетілетін қызметті берушінің комиссиясы көрсетiлетiн қызметті алушының өтінішін қарайды. Орындалу ұзақтығы – 3 (үш)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3-ші іс-қимыл – көрсетілетін қызметті берушінің комиссиясы Қазақстан Республикасының азаматтары мен оралмандарды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немесе ТМККК қызметтерін әлеуетті берушіге қойылатын талаптарға сәйкестігі (сәйкес келмейтіні) туралы шешім қабылдайды.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4-ші іс-қимыл – комиссия хатшысы хаттама ресімдейді.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5-ші іс-қимыл – комиссия мүшелері хаттамаға қол қояды.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6-шы іс-қимыл – комиссия хатшысы хаттамадан көшірме ресімдейді. Орындалу ұзақтығы –20 (жиырма) минут;</w:t>
      </w:r>
      <w:r>
        <w:br/>
      </w:r>
      <w:r>
        <w:rPr>
          <w:rFonts w:ascii="Times New Roman"/>
          <w:b w:val="false"/>
          <w:i w:val="false"/>
          <w:color w:val="000000"/>
          <w:sz w:val="28"/>
        </w:rPr>
        <w:t xml:space="preserve">
      </w:t>
      </w:r>
      <w:r>
        <w:rPr>
          <w:rFonts w:ascii="Times New Roman"/>
          <w:b w:val="false"/>
          <w:i w:val="false"/>
          <w:color w:val="000000"/>
          <w:sz w:val="28"/>
        </w:rPr>
        <w:t>7-ші іс-қимыл – көрсетілетін қызметті берушінің басшысы хаттама көшірмесіне қол қояды.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8-ші іс-қимыл – комиссия хатшысы көрсетiлетiн қызметті алушыға (немесе нотариалды куәландырылған сенімхат бойынша оның өкіліне) мемлекеттік қызмет көрсету мерзімі аяқталғаннан кейін бір айдың ішінде мемлекеттік қызмет көрсету нәтижесін береді. Көрсетілген мерзім аяқталғаннан кейін мемлекеттік қызмет көрсету нәтижесін беру көрсетiлетiн қызметті алушының сұранымы бойынша жүзеге асырылады. Орындалу ұзақтығы – 15 (он бес) минут.</w:t>
      </w:r>
    </w:p>
    <w:bookmarkEnd w:id="7"/>
    <w:bookmarkStart w:name="z56"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8"/>
    <w:bookmarkStart w:name="z57" w:id="9"/>
    <w:p>
      <w:pPr>
        <w:spacing w:after="0"/>
        <w:ind w:left="0"/>
        <w:jc w:val="both"/>
      </w:pPr>
      <w:r>
        <w:rPr>
          <w:rFonts w:ascii="Times New Roman"/>
          <w:b w:val="false"/>
          <w:i w:val="false"/>
          <w:color w:val="000000"/>
          <w:sz w:val="28"/>
        </w:rPr>
        <w:t xml:space="preserve">
      9. Көрсетілетін қызмет алушылар мемлекеттік көрсетілетін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сұранымын өңдеу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сұранымды дайындау және жіберу тәртібі: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 қызметкері стандартта көзделген тізбеге сәйкес құжаттар топтамасын қабылдайды және тиісті құжаттарды қабылдау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9-тармағында көзделген тізбеге сәйкес құжаттар топтамасын толық ұсынбаған жағдайда, Мемлекеттік корпорация құжаттарды қабылдаудан бас тартады. Құжаттарды қабылдаудан бас тарту кезінде Мемлекеттік корпорация қызметкері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алушыдан қабылданған құжаттар жинақтаушы секторға түседі;</w:t>
      </w:r>
      <w:r>
        <w:br/>
      </w:r>
      <w:r>
        <w:rPr>
          <w:rFonts w:ascii="Times New Roman"/>
          <w:b w:val="false"/>
          <w:i w:val="false"/>
          <w:color w:val="000000"/>
          <w:sz w:val="28"/>
        </w:rPr>
        <w:t xml:space="preserve">
      </w:t>
      </w:r>
      <w:r>
        <w:rPr>
          <w:rFonts w:ascii="Times New Roman"/>
          <w:b w:val="false"/>
          <w:i w:val="false"/>
          <w:color w:val="000000"/>
          <w:sz w:val="28"/>
        </w:rPr>
        <w:t>3) жинақтаушы секторға келіп түскен өтініштер бағыттар бойынша қалыптастырылады, "Мемлекеттік корпорацияға арналған ықпалдастырылған ақпараттық жүйе" ақпараттық жүйесінде (бұдан әрі – Мемлекеттік корпорация ЫАЖ) қолхаттағы штрих-кодты сканерлеу арқылы тіркеледі;</w:t>
      </w:r>
      <w:r>
        <w:br/>
      </w:r>
      <w:r>
        <w:rPr>
          <w:rFonts w:ascii="Times New Roman"/>
          <w:b w:val="false"/>
          <w:i w:val="false"/>
          <w:color w:val="000000"/>
          <w:sz w:val="28"/>
        </w:rPr>
        <w:t xml:space="preserve">
      </w:t>
      </w:r>
      <w:r>
        <w:rPr>
          <w:rFonts w:ascii="Times New Roman"/>
          <w:b w:val="false"/>
          <w:i w:val="false"/>
          <w:color w:val="000000"/>
          <w:sz w:val="28"/>
        </w:rPr>
        <w:t>4) жинақтаушы сектор құжаттарды курьерге береді;</w:t>
      </w:r>
      <w:r>
        <w:br/>
      </w:r>
      <w:r>
        <w:rPr>
          <w:rFonts w:ascii="Times New Roman"/>
          <w:b w:val="false"/>
          <w:i w:val="false"/>
          <w:color w:val="000000"/>
          <w:sz w:val="28"/>
        </w:rPr>
        <w:t xml:space="preserve">
      </w:t>
      </w:r>
      <w:r>
        <w:rPr>
          <w:rFonts w:ascii="Times New Roman"/>
          <w:b w:val="false"/>
          <w:i w:val="false"/>
          <w:color w:val="000000"/>
          <w:sz w:val="28"/>
        </w:rPr>
        <w:t>5) курьер құжаттарды көрсетілетін қызметті берушіге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сұранымды жіберуге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 xml:space="preserve">Қатысуға өтініш беру мерзімі аяқталған күннен бастап мемлекеттік қызмет көрсету мерзімі – 4 (төрт) жұмыс күнінен аспайды. </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алушының қатысуға өтінішке қоса ұсынған құжаттарының нақтылығын анықтау қажеттілігі жағдайында – 30 (отыз) күнтізбелік күн ішінде.</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 нәтижесін алу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 берілген қолхатқа сәйкес көрсетілген мерзімде Мемлекеттік корпорацияға келеді және мемлекеттік қызмет нәтижесін алады.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келмейтінін)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5" w:id="10"/>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bookmarkEnd w:id="10"/>
    <w:bookmarkStart w:name="z76" w:id="11"/>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1"/>
    <w:bookmarkStart w:name="z77"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667500" cy="130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130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13"/>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3"/>
    <w:bookmarkStart w:name="z7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127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71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15"/>
    <w:p>
      <w:pPr>
        <w:spacing w:after="0"/>
        <w:ind w:left="0"/>
        <w:jc w:val="left"/>
      </w:pPr>
      <w:r>
        <w:rPr>
          <w:rFonts w:ascii="Times New Roman"/>
          <w:b/>
          <w:i w:val="false"/>
          <w:color w:val="000000"/>
        </w:rPr>
        <w:t xml:space="preserve"> Шартты белгілер:</w:t>
      </w:r>
    </w:p>
    <w:bookmarkEnd w:id="15"/>
    <w:bookmarkStart w:name="z81"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