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3d96" w14:textId="23d3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2016 жылғы 19 қазандағы № 7/46-VI шешімі. Шығыс Қазақстан облысының Әділет департаментінде 2016 жылғы 17 қарашада № 4739 болып тіркелді. Күші жойылды - Шығыс Қазақстан облысы Курчатов қалалық мәслихатының 2021 жылғы 29 желтоқсандағы № 12/87-VII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Курчатов қалалық мәслихатының 29.12.2021 </w:t>
      </w:r>
      <w:r>
        <w:rPr>
          <w:rFonts w:ascii="Times New Roman"/>
          <w:b w:val="false"/>
          <w:i w:val="false"/>
          <w:color w:val="ff0000"/>
          <w:sz w:val="28"/>
        </w:rPr>
        <w:t>12/87-VII</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1-тармағы 15) тармақшасына,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11-бабы</w:t>
      </w:r>
      <w:r>
        <w:rPr>
          <w:rFonts w:ascii="Times New Roman"/>
          <w:b w:val="false"/>
          <w:i w:val="false"/>
          <w:color w:val="000000"/>
          <w:sz w:val="28"/>
        </w:rPr>
        <w:t xml:space="preserve"> 1-тармағына сәйкес Курчатов қалалық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 жеке оқыту жоспары бойынша үйде оқытуға жұмсаған шығындары оқу жылы ағымында ай сайын төрт айлық есептік көрсеткіш мөлшерінде өтелсін.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Курчатов қалалық мәслихатының 31.03.2020 </w:t>
      </w:r>
      <w:r>
        <w:rPr>
          <w:rFonts w:ascii="Times New Roman"/>
          <w:b w:val="false"/>
          <w:i w:val="false"/>
          <w:color w:val="000000"/>
          <w:sz w:val="28"/>
        </w:rPr>
        <w:t>№ 38/296-VI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оқытуға жұмсаған шығындарды өндіріп алу "Курчатов қаласының жұмыспен қамту және әлеуметтік бағдарламалар бөлімі" мемлекеттік мекемесі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үйде оқытылатын мүгедектер қатарындағы кемтар балаларға шығындарды өндіру (толық мемлекет қарауындағы мүгедек балалардан басқа) ата-анасының біреуіне немесе мүгедек балалардың заңды өкілдеріне отбасы кірісіне тәуелсіз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мүгедектер қатарындағы кемтар балаларды жеке оқыту жоспары бойынша үйде оқытуға жұмсаған шығындарды өтеу үшін қажетті құжаттардың тізбесі Қазақстан Республикасы Денсаулық сақтау және әлеуметтік даму министрінің 2015 жылғы 28 сәуірдегі № 279 "Әлеуметтік – еңбек саласындағы мемлекеттік көрсетілетін қызмет стандарттарын бекіту туралы"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 – тармағына</w:t>
      </w:r>
      <w:r>
        <w:rPr>
          <w:rFonts w:ascii="Times New Roman"/>
          <w:b w:val="false"/>
          <w:i w:val="false"/>
          <w:color w:val="000000"/>
          <w:sz w:val="28"/>
        </w:rPr>
        <w:t xml:space="preserve"> сәйкес ұсынылады (нормативтік құқықтық актілердің мемлекеттік тіркеу Тізілімінде 11342 нөмірімен тіркелген);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оқытуға жұмсаған шығындарын өндіріп алу психологиялық – медициналық – педагогикалық кеңесінің қорытындысында көрсетілгендей, кемтар баланы үйде оқытудың қажеттілігі танылған жағдайда өтініш берілген айдан бастап тағайындалады;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шығындарды тоқтатуға әкеп соққан жағдайлар бар болғанда (мүгедек балалардың он сегіз жасқа толуы, мүгедектікті алып тастау, мүгедек баланың мемлекеттік мекемелерде оқып жатқан кезеңінде, мүгедек баланың қайтыс болуы), сәйкес жағдайлар туындағаннан бастап, төлемдер кейінгі айдан бастап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Қайрат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хатшысының өкілеттігін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уақытша жүзеге асырушы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Иманмәдиев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