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c8e0" w14:textId="c7fc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17-5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11 сәуірдегі N 2/7-VI шешімі. Шығыс Қазақстан облысы Әділет департаментінде 2016 жылғы 06 мамырда N 4538 болып тіркелді. Күші жойылды - Шығыс Қазақстан облысы Күршім аудандық мәслихатының 2018 жылғы 13 наурыздағы № 20/3-VI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Күршім аудандық мәслихатының 13.03.2018 № 20/3-VI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3318 нөмірімен тіркелген, "Рауан-Заря" газетінің 2014 жылғы 28 мамырдағы № 40, 2014 жылғы 4 маусымдағы № 42 сандарында жарияланды) келесі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"8-1. Әлеуметтік көмек, Күршім ауданының орталық аудандық ауруханасының тізіміне сәйкес, әлеуметтік мәні бар аурулары және айналасындағыларға қауіп төндіретін аурулары бар адамдарға кірісін есепке алмай, тоқсан сайын амбулаториялық ем алған әр күні үшін 300 теңге көлемінде көрсетіледі.".</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