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f06c" w14:textId="6e3f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2016 жылғы 9 желтоқсандағы № 567 қаулысы. Шығыс Қазақстан облысының Әділет департаментінде 2017 жылғы 19 қаңтарда № 4833 болып тіркелді. Күші жойылды - Абай облысы Үржар ауданы әкімдігінің 2023 жылғы 13 қазандағы № 330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ауданы әкімдігінің 13.10.2023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қамтуға көмек көрсету мақсатында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Қ.Сеитқановқа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"09"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Үржар ауданы әкімдігінің 16.10.2019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