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dc8a" w14:textId="4e9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Қабыл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2016 жылғы 28 қарашадағы № 13 шешімі. Батыс Қазақстан облысының Әділет департаментінде 2016 жылғы 8 желтоқсанда № 4610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"Ветеринарлық бақылау және қадағалау комитетінің Ақжайық аудандық аумақтық инспекциясы" мемлекеттік мекемесінің бас мемлекеттік ветеринариялық – санитариялық инспекторының 2016 жылғы 28 қазандағы № 571 ұсынысы негізінде, Ақжол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Ақжол ауылдық округінің Қабыл ауылының аумағында ұсақ мал арасында бруцеллез ауруы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Ақжол ауылдық округі әкімінің "Ақжайық ауданы Ақжол ауылдық округінің Қабыл ауылының аумағында шектеу іс-шараларын белгілеу туралы" 2015 жылғы 4 маусымдағы № 7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№3926 тіркелген, 2015 жылғы 11 маусымда "Жайық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