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caea" w14:textId="692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Тереңкөл ауылдық округінің Кенбоз қыстағы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Тереңкөл ауылдық округі әкімінің 2016 жылғы 20 сәуірдегі № 3 шешімі. Батыс Қазақстан облысының Әділет департаментінде 2016 жылғы 20 мамырда № 4416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Казталов аудандық аумақтық инспекциясы" мемлекеттік мекемесі басшысының 2015 жылғы 20 наурыздағы № 237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Ұсақ малынан шешек ауруының пайда болуына байланысты, Тереңкөл ауылдық округінің Кенбоз қыстағы аумағында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Казталов ауданы Тереңкөл ауылдық округі әкімінің 2015 жылғы 16 ақпандағы "Казталов ауданы Тереңкөл ауылдық округінің Кенбоз қыстағы аумағында карантин белгілеу туралы" № 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облысының Әділет Департаментінде 2015 жылғы 17 ақпанда № 3818 болып тіркелген)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Тереңкөл ауылдық округі әкімі аппаратының бас маманы (Г. Бупешова)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