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0c22" w14:textId="e960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28 маусымдағы № 4-3 шешімі. Батыс Қазақстан облысының Әділет департаментінде 2016 жылғы 15 шілдеде № 4477 болып тіркелді. Күші жойылды - Батыс Қазақстан облысы Қаратөбе аудандық мәслихатының 2024 жылғы 22 ақпандағы № 12-2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22.02.2024 </w:t>
      </w:r>
      <w:r>
        <w:rPr>
          <w:rFonts w:ascii="Times New Roman"/>
          <w:b w:val="false"/>
          <w:i w:val="false"/>
          <w:color w:val="000000"/>
          <w:sz w:val="28"/>
        </w:rPr>
        <w:t>№ 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3279 тіркелген, 2013 жылғы 8 мамырда "Қаратөбе өңірі"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Қаратөбе ауданында аз қамтамасыз етілген отбасыларға (азаматтарға) тұрғын үй көмегін көрсетудің мөлшерін және тәртібін айқындау Қағидасында: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абзацы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он пайыз мөлшерінде, сонымен қатар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(азаматтың) жиынтық табысынан бес пайыз мөлшерінде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оныншы абзацы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Меңдешов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Сүйеуғалиев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