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496e" w14:textId="51a4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2016 жылғы 15 сәуірдегі № 2-3 "Тасқала ауданында жиналыстар, митингілер, шерулер, пикеттер және демонстрациялар өткізу тәртібін қосымша реттеу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5 тамыздағы № 5-6 шешімі. Батыс Қазақстан облысының Әділет департаментінде 2016 жылғы 12 тамызда № 4509 болып тіркелді. Күші жойылды - Батыс Қазақстан облысы Тасқала аудандық мәслихатының 2020 жылғы 21 ақпандағы № 44-10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00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2016 жылғы 15 сәуірдегі № 2-3 "Тасқала ауданында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 4364 болып тіркелген, 2016 жылы 29 сәуірде "Екпін"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1995 жылғы 17 наурыздағы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бейбіт жиналыстар, митингілер, шерулер, пикеттер және демонстрациялар ұйымдастыру мен өткізу тәртібі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Тасқала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мәслихатының аппараты басшысының міндетін атқарушы (Б. Бисалиев)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