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a1c3" w14:textId="334a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Полтава ауылдық округі әкімінің 2016 жылғы 22 сәуірдегі № 3 шешімі. Батыс Қазақстан облысының Әділет департаментінде 2016 жылғы 5 мамырда № 4380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 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 басшысының 2014 жылғы 5 желтоқсандағы № 235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Шыңғырлау ауданы Полтава ауылдық округінің Мәжит жайлауы аумағындағы карантин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Полтава ауылдық округі әкімінің 2014 жылғы 18 желтоқсандағы № 8 "Полтава ауылдық округінің Мәжит жайлауы аумағында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3752 тіркелген, 2015 жылғы 17 қаңтарда "Серпін"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Полтава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Б. 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